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方正仿宋简体" w:hAnsi="方正仿宋简体" w:eastAsia="方正仿宋简体" w:cs="方正仿宋简体"/>
          <w:sz w:val="42"/>
          <w:szCs w:val="42"/>
        </w:rPr>
      </w:pPr>
      <w:r>
        <w:rPr>
          <w:rFonts w:hint="eastAsia" w:ascii="方正仿宋简体" w:hAnsi="方正仿宋简体" w:eastAsia="方正仿宋简体" w:cs="方正仿宋简体"/>
          <w:sz w:val="42"/>
          <w:szCs w:val="42"/>
        </w:rPr>
        <w:t>上海期货交易所交易指令问答</w:t>
      </w:r>
    </w:p>
    <w:p>
      <w:pPr>
        <w:numPr>
          <w:ilvl w:val="0"/>
          <w:numId w:val="1"/>
        </w:numPr>
        <w:spacing w:line="360" w:lineRule="auto"/>
        <w:ind w:firstLine="600" w:firstLineChars="200"/>
        <w:rPr>
          <w:rFonts w:ascii="Times New Roman" w:hAnsi="Times New Roman" w:eastAsia="方正黑体简体" w:cs="Times New Roman"/>
          <w:sz w:val="30"/>
          <w:szCs w:val="30"/>
        </w:rPr>
      </w:pPr>
      <w:r>
        <w:rPr>
          <w:rFonts w:ascii="Times New Roman" w:hAnsi="Times New Roman" w:eastAsia="方正黑体简体" w:cs="Times New Roman"/>
          <w:sz w:val="30"/>
          <w:szCs w:val="30"/>
        </w:rPr>
        <w:t>交易指令基本问题</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上海期货交易所</w:t>
      </w:r>
      <w:r>
        <w:rPr>
          <w:rFonts w:hint="eastAsia" w:ascii="Times New Roman" w:hAnsi="Times New Roman" w:eastAsia="方正仿宋简体" w:cs="Times New Roman"/>
          <w:b/>
          <w:bCs/>
          <w:sz w:val="30"/>
          <w:szCs w:val="30"/>
        </w:rPr>
        <w:t>（以下简称“上期所”）</w:t>
      </w:r>
      <w:r>
        <w:rPr>
          <w:rFonts w:ascii="Times New Roman" w:hAnsi="Times New Roman" w:eastAsia="方正仿宋简体" w:cs="Times New Roman"/>
          <w:b/>
          <w:bCs/>
          <w:sz w:val="30"/>
          <w:szCs w:val="30"/>
        </w:rPr>
        <w:t>提供的交易指令有哪些？</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上期所目前提供的交易指令包括限价指令、市价指令、套利指令、TAS指令。</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限价指令是什么？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限价指令是指执行时以限定价格或者更好价格成交的指令。适用于上期所及能源中心上市的所有期货和期权品种。</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限价指令</w:t>
      </w:r>
      <w:r>
        <w:rPr>
          <w:rFonts w:hint="eastAsia" w:ascii="Times New Roman" w:hAnsi="Times New Roman" w:eastAsia="方正仿宋简体" w:cs="Times New Roman"/>
          <w:sz w:val="30"/>
          <w:szCs w:val="30"/>
        </w:rPr>
        <w:t>每次最小下单量为1手，每次最大下单量</w:t>
      </w:r>
      <w:r>
        <w:rPr>
          <w:rFonts w:ascii="Times New Roman" w:hAnsi="Times New Roman" w:eastAsia="方正仿宋简体" w:cs="Times New Roman"/>
          <w:sz w:val="30"/>
          <w:szCs w:val="30"/>
        </w:rPr>
        <w:t>期货品种为500手</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期权品种为100手。</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是指以保护价为最劣成交价，按当时市场上可执行的最优价格（报价）成交的指令。未成交的市价指令自动撤销或转换为以保护价为限定价格的限价指令。适用于上期所及能源中心上市的所有期货和期权品种。</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市价指令每次最小下单量为1手</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每次最大下单数量</w:t>
      </w:r>
      <w:r>
        <w:rPr>
          <w:rFonts w:hint="eastAsia" w:ascii="Times New Roman" w:hAnsi="Times New Roman" w:eastAsia="方正仿宋简体" w:cs="Times New Roman"/>
          <w:sz w:val="30"/>
          <w:szCs w:val="30"/>
        </w:rPr>
        <w:t>期货品种</w:t>
      </w:r>
      <w:r>
        <w:rPr>
          <w:rFonts w:ascii="Times New Roman" w:hAnsi="Times New Roman" w:eastAsia="方正仿宋简体" w:cs="Times New Roman"/>
          <w:sz w:val="30"/>
          <w:szCs w:val="30"/>
        </w:rPr>
        <w:t>为60手</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期权品种为30手。</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分为跨期套利指令和跨品种套利指令。跨期套利指令是指同时买进（卖出）和卖出（买进）两个相同标的物但不同到期日期货合约的指令；跨品种套利指令是指同时买进（卖出）和卖出（买进）两个相同到期日但不同标的物期货合约的指令。套利指令不参与集合竞价。</w:t>
      </w:r>
    </w:p>
    <w:p>
      <w:pPr>
        <w:spacing w:line="360" w:lineRule="auto"/>
        <w:ind w:firstLine="600" w:firstLineChars="200"/>
        <w:rPr>
          <w:rFonts w:ascii="Times New Roman" w:hAnsi="Times New Roman" w:eastAsia="方正仿宋简体" w:cs="Times New Roman"/>
          <w:sz w:val="30"/>
          <w:szCs w:val="30"/>
        </w:rPr>
      </w:pPr>
      <w:r>
        <w:rPr>
          <w:rFonts w:hint="eastAsia" w:ascii="Times New Roman" w:hAnsi="Times New Roman" w:eastAsia="方正仿宋简体" w:cs="Times New Roman"/>
          <w:sz w:val="30"/>
          <w:szCs w:val="30"/>
        </w:rPr>
        <w:t>套利指令</w:t>
      </w:r>
      <w:r>
        <w:rPr>
          <w:rFonts w:ascii="Times New Roman" w:hAnsi="Times New Roman" w:eastAsia="方正仿宋简体" w:cs="Times New Roman"/>
          <w:sz w:val="30"/>
          <w:szCs w:val="30"/>
        </w:rPr>
        <w:t>适用于上期所及能源中心上市的部分期货品种</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每次最</w:t>
      </w:r>
      <w:r>
        <w:rPr>
          <w:rFonts w:hint="eastAsia" w:ascii="Times New Roman" w:hAnsi="Times New Roman" w:eastAsia="方正仿宋简体" w:cs="Times New Roman"/>
          <w:sz w:val="30"/>
          <w:szCs w:val="30"/>
        </w:rPr>
        <w:t>小</w:t>
      </w:r>
      <w:r>
        <w:rPr>
          <w:rFonts w:ascii="Times New Roman" w:hAnsi="Times New Roman" w:eastAsia="方正仿宋简体" w:cs="Times New Roman"/>
          <w:sz w:val="30"/>
          <w:szCs w:val="30"/>
        </w:rPr>
        <w:t>下单数量为</w:t>
      </w:r>
      <w:r>
        <w:rPr>
          <w:rFonts w:hint="eastAsia" w:ascii="Times New Roman" w:hAnsi="Times New Roman" w:eastAsia="方正仿宋简体" w:cs="Times New Roman"/>
          <w:sz w:val="30"/>
          <w:szCs w:val="30"/>
        </w:rPr>
        <w:t>1</w:t>
      </w:r>
      <w:r>
        <w:rPr>
          <w:rFonts w:ascii="Times New Roman" w:hAnsi="Times New Roman" w:eastAsia="方正仿宋简体" w:cs="Times New Roman"/>
          <w:sz w:val="30"/>
          <w:szCs w:val="30"/>
        </w:rPr>
        <w:t>手，每次最</w:t>
      </w:r>
      <w:r>
        <w:rPr>
          <w:rFonts w:hint="eastAsia" w:ascii="Times New Roman" w:hAnsi="Times New Roman" w:eastAsia="方正仿宋简体" w:cs="Times New Roman"/>
          <w:sz w:val="30"/>
          <w:szCs w:val="30"/>
        </w:rPr>
        <w:t>大</w:t>
      </w:r>
      <w:r>
        <w:rPr>
          <w:rFonts w:ascii="Times New Roman" w:hAnsi="Times New Roman" w:eastAsia="方正仿宋简体" w:cs="Times New Roman"/>
          <w:sz w:val="30"/>
          <w:szCs w:val="30"/>
        </w:rPr>
        <w:t>下单量为</w:t>
      </w:r>
      <w:r>
        <w:rPr>
          <w:rFonts w:hint="eastAsia" w:ascii="Times New Roman" w:hAnsi="Times New Roman" w:eastAsia="方正仿宋简体" w:cs="Times New Roman"/>
          <w:sz w:val="30"/>
          <w:szCs w:val="30"/>
        </w:rPr>
        <w:t>500</w:t>
      </w:r>
      <w:r>
        <w:rPr>
          <w:rFonts w:ascii="Times New Roman" w:hAnsi="Times New Roman" w:eastAsia="方正仿宋简体" w:cs="Times New Roman"/>
          <w:sz w:val="30"/>
          <w:szCs w:val="30"/>
        </w:rPr>
        <w:t>手。</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结算价交易（TAS）指令是什么？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结算价交易（TAS）指令是以某一期货合约的当日结算价或当日结算价增减若干个最小变动价位为买卖申报价格的交易指令。适用于能源中心上市的原油期货。</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结算价交易（TAS）指令每次最</w:t>
      </w:r>
      <w:r>
        <w:rPr>
          <w:rFonts w:hint="eastAsia" w:ascii="Times New Roman" w:hAnsi="Times New Roman" w:eastAsia="方正仿宋简体" w:cs="Times New Roman"/>
          <w:sz w:val="30"/>
          <w:szCs w:val="30"/>
        </w:rPr>
        <w:t>小</w:t>
      </w:r>
      <w:r>
        <w:rPr>
          <w:rFonts w:ascii="Times New Roman" w:hAnsi="Times New Roman" w:eastAsia="方正仿宋简体" w:cs="Times New Roman"/>
          <w:sz w:val="30"/>
          <w:szCs w:val="30"/>
        </w:rPr>
        <w:t>下单数量为</w:t>
      </w:r>
      <w:r>
        <w:rPr>
          <w:rFonts w:hint="eastAsia" w:ascii="Times New Roman" w:hAnsi="Times New Roman" w:eastAsia="方正仿宋简体" w:cs="Times New Roman"/>
          <w:sz w:val="30"/>
          <w:szCs w:val="30"/>
        </w:rPr>
        <w:t>1</w:t>
      </w:r>
      <w:r>
        <w:rPr>
          <w:rFonts w:ascii="Times New Roman" w:hAnsi="Times New Roman" w:eastAsia="方正仿宋简体" w:cs="Times New Roman"/>
          <w:sz w:val="30"/>
          <w:szCs w:val="30"/>
        </w:rPr>
        <w:t>手，每次最</w:t>
      </w:r>
      <w:r>
        <w:rPr>
          <w:rFonts w:hint="eastAsia" w:ascii="Times New Roman" w:hAnsi="Times New Roman" w:eastAsia="方正仿宋简体" w:cs="Times New Roman"/>
          <w:sz w:val="30"/>
          <w:szCs w:val="30"/>
        </w:rPr>
        <w:t>大</w:t>
      </w:r>
      <w:r>
        <w:rPr>
          <w:rFonts w:ascii="Times New Roman" w:hAnsi="Times New Roman" w:eastAsia="方正仿宋简体" w:cs="Times New Roman"/>
          <w:sz w:val="30"/>
          <w:szCs w:val="30"/>
        </w:rPr>
        <w:t>下单量为</w:t>
      </w:r>
      <w:r>
        <w:rPr>
          <w:rFonts w:hint="eastAsia" w:ascii="Times New Roman" w:hAnsi="Times New Roman" w:eastAsia="方正仿宋简体" w:cs="Times New Roman"/>
          <w:sz w:val="30"/>
          <w:szCs w:val="30"/>
        </w:rPr>
        <w:t>500</w:t>
      </w:r>
      <w:r>
        <w:rPr>
          <w:rFonts w:ascii="Times New Roman" w:hAnsi="Times New Roman" w:eastAsia="方正仿宋简体" w:cs="Times New Roman"/>
          <w:sz w:val="30"/>
          <w:szCs w:val="30"/>
        </w:rPr>
        <w:t>手。</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结算价交易（TAS）指令相关的内容，详见《结算价交易（TAS）指令说明书》。</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上期所提供的交易指令属性有哪些？</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上期所提供的交易指令属性包括：立即全部成交否则自动撤销（FOK）、立即成交剩余指令自动撤销（FAK）。</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“立即全部成交否则自动撤销（FOK）”的指令属性是什么？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立即全部成交否则自动撤销（FOK）是指指令必须按照委托数量全部成交，否则自动被系统撤销。</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FOK指令属性可以附加于限价指令、市价指令、套利指令。</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“立即成交剩余指令自动撤销（FAK）”的指令属性是什么？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立即成交剩余指令自动撤销（FAK）是指指令在指定价位成交后，如有剩余未成交的部分，将自动被系统撤销。</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FAK指令属性可以附加于限价指令、市价指令、套利指令。</w:t>
      </w:r>
    </w:p>
    <w:p>
      <w:pPr>
        <w:numPr>
          <w:ilvl w:val="0"/>
          <w:numId w:val="2"/>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已提交的指令在收市后是否有效？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已提交的指令具有当日有效的性质，收市后所有已提交的指令将失效。当日有效是指当日申报但未成交的指令在收市后系统自动撤销，而且指令未成交前，投资者可变更或撤销。</w:t>
      </w:r>
    </w:p>
    <w:p>
      <w:pPr>
        <w:spacing w:line="360" w:lineRule="auto"/>
        <w:ind w:firstLine="600" w:firstLineChars="200"/>
        <w:rPr>
          <w:rFonts w:ascii="Times New Roman" w:hAnsi="Times New Roman" w:eastAsia="方正仿宋简体" w:cs="Times New Roman"/>
          <w:sz w:val="30"/>
          <w:szCs w:val="30"/>
        </w:rPr>
      </w:pPr>
    </w:p>
    <w:p>
      <w:pPr>
        <w:numPr>
          <w:ilvl w:val="0"/>
          <w:numId w:val="1"/>
        </w:numPr>
        <w:spacing w:line="360" w:lineRule="auto"/>
        <w:ind w:firstLine="602" w:firstLineChars="200"/>
        <w:rPr>
          <w:rFonts w:ascii="方正黑体简体" w:hAnsi="方正黑体简体" w:eastAsia="方正黑体简体" w:cs="方正黑体简体"/>
          <w:b/>
          <w:bCs/>
          <w:sz w:val="30"/>
          <w:szCs w:val="30"/>
        </w:rPr>
      </w:pPr>
      <w:r>
        <w:rPr>
          <w:rFonts w:hint="eastAsia" w:ascii="方正黑体简体" w:hAnsi="方正黑体简体" w:eastAsia="方正黑体简体" w:cs="方正黑体简体"/>
          <w:b/>
          <w:bCs/>
          <w:sz w:val="30"/>
          <w:szCs w:val="30"/>
        </w:rPr>
        <w:t>市价指令相关问题</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市价指令可以在什么时候使用？</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市价指令只允许在连续竞价交易阶段报入，集合竞价申报、集合竞价撮合及其他阶段禁止报入。</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市价指令未成交部分转限价单后，可以在连续竞价交易阶段或日盘集合竞价申报阶段撤销。</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市价指令单次可以申报多少数量？</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交易所可以根据市场情况，对不同的上市品种、合约交易指令每次最小下单量、每次最大下单量进行调整，具体标准由交易所另行公布。市价指令每次最小下单量为1手</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每次最大下单数量</w:t>
      </w:r>
      <w:r>
        <w:rPr>
          <w:rFonts w:hint="eastAsia" w:ascii="Times New Roman" w:hAnsi="Times New Roman" w:eastAsia="方正仿宋简体" w:cs="Times New Roman"/>
          <w:sz w:val="30"/>
          <w:szCs w:val="30"/>
        </w:rPr>
        <w:t>期货品种</w:t>
      </w:r>
      <w:r>
        <w:rPr>
          <w:rFonts w:ascii="Times New Roman" w:hAnsi="Times New Roman" w:eastAsia="方正仿宋简体" w:cs="Times New Roman"/>
          <w:sz w:val="30"/>
          <w:szCs w:val="30"/>
        </w:rPr>
        <w:t>为60手</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期权品种为30手。</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市价指令可以附加哪些指令属性？</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市价指令可以附加FOK和FAK属性。</w:t>
      </w:r>
    </w:p>
    <w:p>
      <w:pPr>
        <w:numPr>
          <w:ilvl w:val="0"/>
          <w:numId w:val="3"/>
        </w:numPr>
        <w:spacing w:line="360" w:lineRule="auto"/>
        <w:ind w:firstLine="602" w:firstLineChars="200"/>
        <w:rPr>
          <w:rFonts w:ascii="Times New Roman" w:hAnsi="Times New Roman" w:eastAsia="方正仿宋简体" w:cs="Times New Roman"/>
          <w:sz w:val="30"/>
          <w:szCs w:val="30"/>
        </w:rPr>
      </w:pPr>
      <w:r>
        <w:rPr>
          <w:rFonts w:ascii="Times New Roman" w:hAnsi="Times New Roman" w:eastAsia="方正仿宋简体" w:cs="Times New Roman"/>
          <w:b/>
          <w:bCs/>
          <w:sz w:val="30"/>
          <w:szCs w:val="30"/>
        </w:rPr>
        <w:t>市价指令报单时需要输入的保护价格是什么？报单时一定要填写保护价吗？</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市场参与者使用市价指令报单时，必须填写保护价。</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保护价是指该笔报单的最劣成交价，即买市价指令成交价不高于保护价，卖市价指令成交价不低于保护价。保护价必须在合约当日涨跌停板价格范围内，且必须是最小变动价位的整数倍。</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未成交的市价指令怎么处理？</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若市价指令附加FOK和FAK属性的，未成交的剩余报单自动撤单。若市价指令未附加FOK和FAK属性的，未成交的剩余报单转换为以保护价为限定价格的限价指令。市价指令转限价后，撮合、成交规则与普通限价指令完全一致。</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市价指令报单及成交后如何计算保证金？</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市价指令报单或撤单时以保护价计算应冻结或释放的保证金，成交后以成交价计算实际占用的保证金，并纳入单向大边保证金计算。</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市价指令的成交是否计入当日结算价</w:t>
      </w:r>
      <w:r>
        <w:rPr>
          <w:rFonts w:hint="eastAsia" w:ascii="Times New Roman" w:hAnsi="Times New Roman" w:eastAsia="方正仿宋简体" w:cs="Times New Roman"/>
          <w:b/>
          <w:bCs/>
          <w:sz w:val="30"/>
          <w:szCs w:val="30"/>
        </w:rPr>
        <w:t>计算</w:t>
      </w:r>
      <w:r>
        <w:rPr>
          <w:rFonts w:ascii="Times New Roman" w:hAnsi="Times New Roman" w:eastAsia="方正仿宋简体" w:cs="Times New Roman"/>
          <w:b/>
          <w:bCs/>
          <w:sz w:val="30"/>
          <w:szCs w:val="30"/>
        </w:rPr>
        <w:t>？</w:t>
      </w:r>
    </w:p>
    <w:p>
      <w:pPr>
        <w:spacing w:line="360" w:lineRule="auto"/>
        <w:ind w:firstLine="555"/>
        <w:rPr>
          <w:rFonts w:ascii="Times New Roman" w:hAnsi="Times New Roman" w:eastAsia="方正仿宋简体" w:cs="Times New Roman"/>
          <w:sz w:val="30"/>
          <w:szCs w:val="30"/>
        </w:rPr>
      </w:pPr>
      <w:r>
        <w:rPr>
          <w:rFonts w:ascii="Times New Roman" w:hAnsi="Times New Roman" w:eastAsia="方正仿宋简体" w:cs="Times New Roman"/>
          <w:sz w:val="30"/>
          <w:szCs w:val="30"/>
        </w:rPr>
        <w:t>由市价指令产生的成交全部纳入当日结算价结算范围。</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市价指令的交易手续费如何收取？</w:t>
      </w:r>
    </w:p>
    <w:p>
      <w:pPr>
        <w:spacing w:line="360" w:lineRule="auto"/>
        <w:ind w:firstLine="555"/>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市价指令的交易手续费收取标准与限价指令一致。</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市价指令是否豁免异常交易行为？</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市价指令的异常交易行为豁免与限价指令保持一致，不豁免自成交、频繁报撤单、大额报撤单等异常交易行为。</w:t>
      </w:r>
    </w:p>
    <w:p>
      <w:pPr>
        <w:numPr>
          <w:ilvl w:val="0"/>
          <w:numId w:val="3"/>
        </w:numPr>
        <w:spacing w:line="360" w:lineRule="auto"/>
        <w:ind w:firstLine="56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市价指令的申报费信息量如何统计？</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市价指令报单、未成交市价指令自动撤单、市价指令未成交部分转限价后主动撤单的，均纳入信息量统计。</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市价指令未成交部分转限价、市价指令未成交部分转限价后未成交收盘时由交易所统一处理的，均不纳入信息量统计。</w:t>
      </w:r>
    </w:p>
    <w:p>
      <w:pPr>
        <w:numPr>
          <w:ilvl w:val="0"/>
          <w:numId w:val="3"/>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市价指令交易示例。</w:t>
      </w:r>
    </w:p>
    <w:p>
      <w:pPr>
        <w:spacing w:line="360" w:lineRule="auto"/>
        <w:ind w:left="560"/>
        <w:rPr>
          <w:rFonts w:ascii="Times New Roman" w:hAnsi="Times New Roman" w:eastAsia="方正仿宋简体" w:cs="Times New Roman"/>
          <w:bCs/>
          <w:sz w:val="30"/>
          <w:szCs w:val="30"/>
        </w:rPr>
      </w:pPr>
      <w:r>
        <w:rPr>
          <w:rFonts w:ascii="Times New Roman" w:hAnsi="Times New Roman" w:eastAsia="方正仿宋简体" w:cs="Times New Roman"/>
          <w:bCs/>
          <w:sz w:val="30"/>
          <w:szCs w:val="30"/>
        </w:rPr>
        <w:t>当前Ag2601合约报单簿为：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19798，1手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19799，2手</w:t>
            </w:r>
          </w:p>
        </w:tc>
      </w:tr>
      <w:tr>
        <w:tblPrEx>
          <w:tblCellMar>
            <w:top w:w="0" w:type="dxa"/>
            <w:left w:w="0" w:type="dxa"/>
            <w:bottom w:w="0" w:type="dxa"/>
            <w:right w:w="0" w:type="dxa"/>
          </w:tblCellMar>
        </w:tblPrEx>
        <w:trPr>
          <w:trHeight w:val="336" w:hRule="atLeast"/>
        </w:trPr>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买2</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19797，3手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卖2</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19800，3手</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买3</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19796，1手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卖3</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19801，8手</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此时，报入一笔买入10手的市价指令，保护价为19800。</w:t>
      </w:r>
    </w:p>
    <w:p>
      <w:pPr>
        <w:spacing w:line="360" w:lineRule="auto"/>
        <w:ind w:firstLine="602" w:firstLineChars="200"/>
        <w:rPr>
          <w:rFonts w:ascii="Times New Roman" w:hAnsi="Times New Roman" w:eastAsia="方正仿宋简体" w:cs="Times New Roman"/>
          <w:sz w:val="30"/>
          <w:szCs w:val="30"/>
        </w:rPr>
      </w:pPr>
      <w:r>
        <w:rPr>
          <w:rFonts w:ascii="Times New Roman" w:hAnsi="Times New Roman" w:eastAsia="方正仿宋简体" w:cs="Times New Roman"/>
          <w:b/>
          <w:sz w:val="30"/>
          <w:szCs w:val="30"/>
        </w:rPr>
        <w:t>成交过程</w:t>
      </w:r>
      <w:r>
        <w:rPr>
          <w:rFonts w:ascii="Times New Roman" w:hAnsi="Times New Roman" w:eastAsia="方正仿宋简体" w:cs="Times New Roman"/>
          <w:sz w:val="30"/>
          <w:szCs w:val="30"/>
        </w:rPr>
        <w:t>：市价指令进入报单簿后立即尝试与对手方最优价依次成交，成交价为对手方报单价。首先与卖1成交2手，成交价为19799。卖1全部成交完后，市价指令还有剩余，继续与卖2成交，成交3手，成交价为19800。由于卖3的报单价为19801，劣于保护价，因此市价指令不会与卖3成交。</w:t>
      </w:r>
    </w:p>
    <w:p>
      <w:pPr>
        <w:spacing w:line="360" w:lineRule="auto"/>
        <w:ind w:firstLine="602" w:firstLineChars="200"/>
        <w:rPr>
          <w:rFonts w:ascii="Times New Roman" w:hAnsi="Times New Roman" w:eastAsia="方正仿宋简体" w:cs="Times New Roman"/>
          <w:sz w:val="30"/>
          <w:szCs w:val="30"/>
        </w:rPr>
      </w:pPr>
      <w:r>
        <w:rPr>
          <w:rFonts w:ascii="Times New Roman" w:hAnsi="Times New Roman" w:eastAsia="方正仿宋简体" w:cs="Times New Roman"/>
          <w:b/>
          <w:sz w:val="30"/>
          <w:szCs w:val="30"/>
        </w:rPr>
        <w:t>未成交报单处理</w:t>
      </w:r>
      <w:r>
        <w:rPr>
          <w:rFonts w:ascii="Times New Roman" w:hAnsi="Times New Roman" w:eastAsia="方正仿宋简体" w:cs="Times New Roman"/>
          <w:sz w:val="30"/>
          <w:szCs w:val="30"/>
        </w:rPr>
        <w:t>：若报单时选择FAK属性，该笔报单剩余5手会自动被系统撤销。若报单时没有选择FAK或FOK属性，剩余报单会转换成限价指令，价格为保护价19800停留在报单簿上。</w:t>
      </w:r>
    </w:p>
    <w:p>
      <w:pPr>
        <w:spacing w:line="360" w:lineRule="auto"/>
        <w:ind w:firstLine="600" w:firstLineChars="200"/>
        <w:rPr>
          <w:rFonts w:ascii="Times New Roman" w:hAnsi="Times New Roman" w:eastAsia="方正仿宋简体" w:cs="Times New Roman"/>
          <w:sz w:val="30"/>
          <w:szCs w:val="30"/>
        </w:rPr>
      </w:pPr>
    </w:p>
    <w:p>
      <w:pPr>
        <w:numPr>
          <w:ilvl w:val="0"/>
          <w:numId w:val="1"/>
        </w:numPr>
        <w:spacing w:line="360" w:lineRule="auto"/>
        <w:ind w:firstLine="602" w:firstLineChars="200"/>
        <w:rPr>
          <w:rFonts w:ascii="方正黑体简体" w:hAnsi="方正黑体简体" w:eastAsia="方正黑体简体" w:cs="方正黑体简体"/>
          <w:b/>
          <w:bCs/>
          <w:sz w:val="30"/>
          <w:szCs w:val="30"/>
        </w:rPr>
      </w:pPr>
      <w:r>
        <w:rPr>
          <w:rFonts w:hint="eastAsia" w:ascii="方正黑体简体" w:hAnsi="方正黑体简体" w:eastAsia="方正黑体简体" w:cs="方正黑体简体"/>
          <w:b/>
          <w:bCs/>
          <w:sz w:val="30"/>
          <w:szCs w:val="30"/>
        </w:rPr>
        <w:t>套利指令相关问题</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套利指令是通过什么方式开展交易的？</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交易所通过挂牌套利合约的方式实现套利指令。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跨期套利，即同一期货品种两个不同月份合约进行数量相等、买卖方向相反组合，例：买入1手cu2501-cu2502，表示买入1手cu2501，卖出1手cu2502。</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跨品种套利，即两个不同期货品种、相同月份合约进行数量相等、买卖方向相反组合，例：买入1手hc2501-rb2501，表示买入1手hc2501，卖出1手rb2501。</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组成标准套利合约的单一期货合约，又称腿合约。</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套利合约的挂牌方式与到期时间？</w:t>
      </w:r>
    </w:p>
    <w:p>
      <w:pPr>
        <w:spacing w:line="360" w:lineRule="auto"/>
        <w:ind w:firstLine="600" w:firstLineChars="200"/>
        <w:rPr>
          <w:rFonts w:hint="default" w:eastAsia="方正仿宋简体"/>
          <w:sz w:val="30"/>
          <w:szCs w:val="30"/>
          <w:lang w:val="en-US" w:eastAsia="zh-CN"/>
        </w:rPr>
      </w:pPr>
      <w:r>
        <w:rPr>
          <w:rFonts w:hint="eastAsia" w:ascii="Times New Roman" w:hAnsi="Times New Roman" w:eastAsia="方正仿宋简体" w:cs="Times New Roman"/>
          <w:sz w:val="30"/>
          <w:szCs w:val="30"/>
        </w:rPr>
        <w:t>套利指令</w:t>
      </w:r>
      <w:r>
        <w:rPr>
          <w:rFonts w:ascii="Times New Roman" w:hAnsi="Times New Roman" w:eastAsia="方正仿宋简体" w:cs="Times New Roman"/>
          <w:sz w:val="30"/>
          <w:szCs w:val="30"/>
        </w:rPr>
        <w:t>适用于上期所及能源中心上市的部分期货品种。目前套利指令适用于铜、</w:t>
      </w:r>
      <w:r>
        <w:rPr>
          <w:rFonts w:hint="eastAsia" w:eastAsia="方正仿宋简体"/>
          <w:sz w:val="30"/>
          <w:szCs w:val="30"/>
          <w:lang w:eastAsia="zh-CN"/>
        </w:rPr>
        <w:t>铝</w:t>
      </w:r>
      <w:r>
        <w:rPr>
          <w:rFonts w:eastAsia="方正仿宋简体"/>
          <w:sz w:val="30"/>
          <w:szCs w:val="30"/>
        </w:rPr>
        <w:t>、</w:t>
      </w:r>
      <w:r>
        <w:rPr>
          <w:rFonts w:hint="eastAsia" w:eastAsia="方正仿宋简体"/>
          <w:sz w:val="30"/>
          <w:szCs w:val="30"/>
          <w:lang w:eastAsia="zh-CN"/>
        </w:rPr>
        <w:t>锌、铅、镍、锡、氧化铝、</w:t>
      </w:r>
      <w:r>
        <w:rPr>
          <w:rFonts w:ascii="Times New Roman" w:hAnsi="Times New Roman" w:eastAsia="方正仿宋简体" w:cs="Times New Roman"/>
          <w:sz w:val="30"/>
          <w:szCs w:val="30"/>
        </w:rPr>
        <w:t>黄金</w:t>
      </w:r>
      <w:r>
        <w:rPr>
          <w:rFonts w:hint="eastAsia" w:ascii="Times New Roman" w:hAnsi="Times New Roman" w:eastAsia="方正仿宋简体" w:cs="Times New Roman"/>
          <w:sz w:val="30"/>
          <w:szCs w:val="30"/>
          <w:lang w:eastAsia="zh-CN"/>
        </w:rPr>
        <w:t>、白银、</w:t>
      </w:r>
      <w:r>
        <w:rPr>
          <w:rFonts w:ascii="Times New Roman" w:hAnsi="Times New Roman" w:eastAsia="方正仿宋简体" w:cs="Times New Roman"/>
          <w:sz w:val="30"/>
          <w:szCs w:val="30"/>
        </w:rPr>
        <w:t>螺纹钢、</w:t>
      </w:r>
      <w:r>
        <w:rPr>
          <w:rFonts w:hint="eastAsia" w:eastAsia="方正仿宋简体"/>
          <w:sz w:val="30"/>
          <w:szCs w:val="30"/>
          <w:lang w:eastAsia="zh-CN"/>
        </w:rPr>
        <w:t>不锈钢、</w:t>
      </w:r>
      <w:r>
        <w:rPr>
          <w:rFonts w:ascii="Times New Roman" w:hAnsi="Times New Roman" w:eastAsia="方正仿宋简体" w:cs="Times New Roman"/>
          <w:sz w:val="30"/>
          <w:szCs w:val="30"/>
        </w:rPr>
        <w:t>天然橡胶、</w:t>
      </w:r>
      <w:r>
        <w:rPr>
          <w:rFonts w:hint="eastAsia" w:eastAsia="方正仿宋简体"/>
          <w:sz w:val="30"/>
          <w:szCs w:val="30"/>
          <w:lang w:eastAsia="zh-CN"/>
        </w:rPr>
        <w:t>丁二烯橡胶、纸浆、国际铜、</w:t>
      </w:r>
      <w:r>
        <w:rPr>
          <w:rFonts w:hint="eastAsia" w:eastAsia="方正仿宋简体"/>
          <w:sz w:val="30"/>
          <w:szCs w:val="30"/>
          <w:lang w:val="en-US" w:eastAsia="zh-CN"/>
        </w:rPr>
        <w:t>20号胶、原油期货品种。</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铜、</w:t>
      </w:r>
      <w:r>
        <w:rPr>
          <w:rFonts w:hint="eastAsia" w:eastAsia="方正仿宋简体"/>
          <w:sz w:val="30"/>
          <w:szCs w:val="30"/>
          <w:lang w:eastAsia="zh-CN"/>
        </w:rPr>
        <w:t>铝</w:t>
      </w:r>
      <w:r>
        <w:rPr>
          <w:rFonts w:eastAsia="方正仿宋简体"/>
          <w:sz w:val="30"/>
          <w:szCs w:val="30"/>
        </w:rPr>
        <w:t>、</w:t>
      </w:r>
      <w:r>
        <w:rPr>
          <w:rFonts w:hint="eastAsia" w:eastAsia="方正仿宋简体"/>
          <w:sz w:val="30"/>
          <w:szCs w:val="30"/>
          <w:lang w:eastAsia="zh-CN"/>
        </w:rPr>
        <w:t>锌、铅、镍、锡、氧化铝、</w:t>
      </w:r>
      <w:r>
        <w:rPr>
          <w:rFonts w:ascii="Times New Roman" w:hAnsi="Times New Roman" w:eastAsia="方正仿宋简体" w:cs="Times New Roman"/>
          <w:sz w:val="30"/>
          <w:szCs w:val="30"/>
        </w:rPr>
        <w:t>螺纹钢、</w:t>
      </w:r>
      <w:r>
        <w:rPr>
          <w:rFonts w:hint="eastAsia" w:eastAsia="方正仿宋简体"/>
          <w:sz w:val="30"/>
          <w:szCs w:val="30"/>
          <w:lang w:eastAsia="zh-CN"/>
        </w:rPr>
        <w:t>不锈钢、</w:t>
      </w:r>
      <w:r>
        <w:rPr>
          <w:rFonts w:ascii="Times New Roman" w:hAnsi="Times New Roman" w:eastAsia="方正仿宋简体" w:cs="Times New Roman"/>
          <w:sz w:val="30"/>
          <w:szCs w:val="30"/>
        </w:rPr>
        <w:t>天然橡胶、</w:t>
      </w:r>
      <w:r>
        <w:rPr>
          <w:rFonts w:hint="eastAsia" w:eastAsia="方正仿宋简体"/>
          <w:sz w:val="30"/>
          <w:szCs w:val="30"/>
          <w:lang w:eastAsia="zh-CN"/>
        </w:rPr>
        <w:t>丁二烯橡胶、纸浆、国际铜、</w:t>
      </w:r>
      <w:r>
        <w:rPr>
          <w:rFonts w:hint="eastAsia" w:eastAsia="方正仿宋简体"/>
          <w:sz w:val="30"/>
          <w:szCs w:val="30"/>
          <w:lang w:val="en-US" w:eastAsia="zh-CN"/>
        </w:rPr>
        <w:t>20号胶</w:t>
      </w:r>
      <w:r>
        <w:rPr>
          <w:rFonts w:ascii="Times New Roman" w:hAnsi="Times New Roman" w:eastAsia="方正仿宋简体" w:cs="Times New Roman"/>
          <w:sz w:val="30"/>
          <w:szCs w:val="30"/>
        </w:rPr>
        <w:t>期货跨期套利合约的挂牌方式是首</w:t>
      </w:r>
      <w:r>
        <w:rPr>
          <w:rFonts w:hint="eastAsia" w:ascii="Times New Roman" w:hAnsi="Times New Roman" w:eastAsia="方正仿宋简体" w:cs="Times New Roman"/>
          <w:sz w:val="30"/>
          <w:szCs w:val="30"/>
        </w:rPr>
        <w:t>5行合约互相组合，到期时间是近月合约交割月前一月最后一个交易日。</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黄金</w:t>
      </w:r>
      <w:r>
        <w:rPr>
          <w:rFonts w:hint="eastAsia" w:ascii="Times New Roman" w:hAnsi="Times New Roman" w:eastAsia="方正仿宋简体" w:cs="Times New Roman"/>
          <w:sz w:val="30"/>
          <w:szCs w:val="30"/>
          <w:lang w:eastAsia="zh-CN"/>
        </w:rPr>
        <w:t>、白银</w:t>
      </w:r>
      <w:bookmarkStart w:id="0" w:name="_GoBack"/>
      <w:bookmarkEnd w:id="0"/>
      <w:r>
        <w:rPr>
          <w:rFonts w:ascii="Times New Roman" w:hAnsi="Times New Roman" w:eastAsia="方正仿宋简体" w:cs="Times New Roman"/>
          <w:sz w:val="30"/>
          <w:szCs w:val="30"/>
        </w:rPr>
        <w:t>期货跨期套利合约的挂牌方式是首</w:t>
      </w:r>
      <w:r>
        <w:rPr>
          <w:rFonts w:hint="eastAsia" w:ascii="Times New Roman" w:hAnsi="Times New Roman" w:eastAsia="方正仿宋简体" w:cs="Times New Roman"/>
          <w:sz w:val="30"/>
          <w:szCs w:val="30"/>
        </w:rPr>
        <w:t>5个偶数月合约互相组合，到期时间是近月合约交割月前一月最后一个交易日。</w:t>
      </w:r>
    </w:p>
    <w:p>
      <w:pPr>
        <w:spacing w:line="360" w:lineRule="auto"/>
        <w:ind w:firstLine="600" w:firstLineChars="200"/>
        <w:rPr>
          <w:rFonts w:hint="eastAsia" w:ascii="Times New Roman" w:hAnsi="Times New Roman" w:eastAsia="方正仿宋简体" w:cs="Times New Roman"/>
          <w:sz w:val="30"/>
          <w:szCs w:val="30"/>
        </w:rPr>
      </w:pPr>
      <w:r>
        <w:rPr>
          <w:rFonts w:ascii="Times New Roman" w:hAnsi="Times New Roman" w:eastAsia="方正仿宋简体" w:cs="Times New Roman"/>
          <w:sz w:val="30"/>
          <w:szCs w:val="30"/>
        </w:rPr>
        <w:t>原油期货跨期套利合约的挂牌方式是第</w:t>
      </w:r>
      <w:r>
        <w:rPr>
          <w:rFonts w:hint="eastAsia" w:ascii="Times New Roman" w:hAnsi="Times New Roman" w:eastAsia="方正仿宋简体" w:cs="Times New Roman"/>
          <w:sz w:val="30"/>
          <w:szCs w:val="30"/>
        </w:rPr>
        <w:t>2</w:t>
      </w:r>
      <w:r>
        <w:rPr>
          <w:rFonts w:ascii="Times New Roman" w:hAnsi="Times New Roman" w:eastAsia="方正仿宋简体" w:cs="Times New Roman"/>
          <w:sz w:val="30"/>
          <w:szCs w:val="30"/>
        </w:rPr>
        <w:t>-6</w:t>
      </w:r>
      <w:r>
        <w:rPr>
          <w:rFonts w:hint="eastAsia" w:ascii="Times New Roman" w:hAnsi="Times New Roman" w:eastAsia="方正仿宋简体" w:cs="Times New Roman"/>
          <w:sz w:val="30"/>
          <w:szCs w:val="30"/>
        </w:rPr>
        <w:t>行合约互相组合，到期时间是近月合约交割月前二月最后一个交易日。</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套利指令可以在什么时候使用？</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套利指令只允许在连续竞价阶段报入，集合竞价申报、集合竞价撮合及其他阶段禁止报入。</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日盘集合竞价申报阶段可以撤销夜盘连续竞价交易阶段未成交的套利指令。日盘集合竞价撮合阶段套利指令不参与撮合，恢复连续竞价交易状态后开始撮合，撮合完成后，交易系统才会接受新的委托。</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套利指令单次可以申报多少数量？</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交易所可以根据市场情况，对不同的上市品种、合约交易指令每次最小下单量、每次最大下单量进行调整，具体标准由交易所另行公布。目前套利指令每次最</w:t>
      </w:r>
      <w:r>
        <w:rPr>
          <w:rFonts w:hint="eastAsia" w:ascii="Times New Roman" w:hAnsi="Times New Roman" w:eastAsia="方正仿宋简体" w:cs="Times New Roman"/>
          <w:sz w:val="30"/>
          <w:szCs w:val="30"/>
        </w:rPr>
        <w:t>小</w:t>
      </w:r>
      <w:r>
        <w:rPr>
          <w:rFonts w:ascii="Times New Roman" w:hAnsi="Times New Roman" w:eastAsia="方正仿宋简体" w:cs="Times New Roman"/>
          <w:sz w:val="30"/>
          <w:szCs w:val="30"/>
        </w:rPr>
        <w:t>下单数量为</w:t>
      </w:r>
      <w:r>
        <w:rPr>
          <w:rFonts w:hint="eastAsia" w:ascii="Times New Roman" w:hAnsi="Times New Roman" w:eastAsia="方正仿宋简体" w:cs="Times New Roman"/>
          <w:sz w:val="30"/>
          <w:szCs w:val="30"/>
        </w:rPr>
        <w:t>1</w:t>
      </w:r>
      <w:r>
        <w:rPr>
          <w:rFonts w:ascii="Times New Roman" w:hAnsi="Times New Roman" w:eastAsia="方正仿宋简体" w:cs="Times New Roman"/>
          <w:sz w:val="30"/>
          <w:szCs w:val="30"/>
        </w:rPr>
        <w:t>手，每次最</w:t>
      </w:r>
      <w:r>
        <w:rPr>
          <w:rFonts w:hint="eastAsia" w:ascii="Times New Roman" w:hAnsi="Times New Roman" w:eastAsia="方正仿宋简体" w:cs="Times New Roman"/>
          <w:sz w:val="30"/>
          <w:szCs w:val="30"/>
        </w:rPr>
        <w:t>大</w:t>
      </w:r>
      <w:r>
        <w:rPr>
          <w:rFonts w:ascii="Times New Roman" w:hAnsi="Times New Roman" w:eastAsia="方正仿宋简体" w:cs="Times New Roman"/>
          <w:sz w:val="30"/>
          <w:szCs w:val="30"/>
        </w:rPr>
        <w:t>下单量为</w:t>
      </w:r>
      <w:r>
        <w:rPr>
          <w:rFonts w:hint="eastAsia" w:ascii="Times New Roman" w:hAnsi="Times New Roman" w:eastAsia="方正仿宋简体" w:cs="Times New Roman"/>
          <w:sz w:val="30"/>
          <w:szCs w:val="30"/>
        </w:rPr>
        <w:t>500</w:t>
      </w:r>
      <w:r>
        <w:rPr>
          <w:rFonts w:ascii="Times New Roman" w:hAnsi="Times New Roman" w:eastAsia="方正仿宋简体" w:cs="Times New Roman"/>
          <w:sz w:val="30"/>
          <w:szCs w:val="30"/>
        </w:rPr>
        <w:t>手。</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套利指令可以附加哪些指令属性？</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套利指令可以附加FOK和FAK属性。</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套利指令的最小变动价位是什么？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跨期套利交易指令最小变动价位与两个成分合约的最小变动价位一致。</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跨品种套利交易指令最小变动价位为两个成分合约中最小变动价位的较小值。（跨品种套利交易指令的最小变动价位与两个成分合约的最小变动价位一致，两个成分合约的最小变动价位一致方可开展跨品种套利交易。）</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套利指令的报价方式是什么？报价范围是什么？</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shd w:val="clear" w:color="auto" w:fill="FFFFFF"/>
        </w:rPr>
        <w:t>套利指令以价差形式报入，无需对两个合约单独委托报价。套利指令报入的</w:t>
      </w:r>
      <w:r>
        <w:rPr>
          <w:rFonts w:ascii="Times New Roman" w:hAnsi="Times New Roman" w:eastAsia="方正仿宋简体" w:cs="Times New Roman"/>
          <w:sz w:val="30"/>
          <w:szCs w:val="30"/>
        </w:rPr>
        <w:t>价格可以为负数。</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1）跨期套利交易指令报价方式：</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买套利价格=近月合约买申报价格-远月合约卖申报价格</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卖套利价格=近月合约卖申报价格-远月合约买申报价格</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2）跨品种套利交易指令报价方式：</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买套利价格=第一品种买申报价格-第二品种卖申报价格</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卖套利价格=第一品种卖申报价格-第二品种买申报价格</w:t>
      </w:r>
    </w:p>
    <w:p>
      <w:pPr>
        <w:numPr>
          <w:ilvl w:val="0"/>
          <w:numId w:val="4"/>
        </w:numPr>
        <w:spacing w:line="360" w:lineRule="auto"/>
        <w:ind w:firstLine="602" w:firstLineChars="200"/>
        <w:rPr>
          <w:rFonts w:ascii="Times New Roman" w:hAnsi="Times New Roman" w:eastAsia="方正仿宋简体" w:cs="Times New Roman"/>
          <w:sz w:val="30"/>
          <w:szCs w:val="30"/>
        </w:rPr>
      </w:pPr>
      <w:r>
        <w:rPr>
          <w:rFonts w:ascii="Times New Roman" w:hAnsi="Times New Roman" w:eastAsia="方正仿宋简体" w:cs="Times New Roman"/>
          <w:b/>
          <w:bCs/>
          <w:sz w:val="30"/>
          <w:szCs w:val="30"/>
        </w:rPr>
        <w:t>引入套利指令后，报单簿的撮合顺序是什么？</w:t>
      </w:r>
    </w:p>
    <w:p>
      <w:pPr>
        <w:spacing w:line="360" w:lineRule="auto"/>
        <w:ind w:firstLine="600" w:firstLineChars="200"/>
        <w:rPr>
          <w:rFonts w:ascii="Times New Roman" w:hAnsi="Times New Roman" w:eastAsia="方正仿宋简体" w:cs="Times New Roman"/>
          <w:sz w:val="30"/>
          <w:szCs w:val="30"/>
          <w:shd w:val="clear" w:color="auto" w:fill="FFFFFF"/>
        </w:rPr>
      </w:pPr>
      <w:r>
        <w:rPr>
          <w:rFonts w:ascii="Times New Roman" w:hAnsi="Times New Roman" w:eastAsia="方正仿宋简体" w:cs="Times New Roman"/>
          <w:sz w:val="30"/>
          <w:szCs w:val="30"/>
          <w:shd w:val="clear" w:color="auto" w:fill="FFFFFF"/>
        </w:rPr>
        <w:t>撮合顺序为价格优先；同价格档位上，基础单优先（直接报入的报单，非推导单）；同价格档位上</w:t>
      </w:r>
      <w:r>
        <w:rPr>
          <w:rFonts w:hint="eastAsia" w:ascii="Times New Roman" w:hAnsi="Times New Roman" w:eastAsia="方正仿宋简体" w:cs="Times New Roman"/>
          <w:sz w:val="30"/>
          <w:szCs w:val="30"/>
          <w:shd w:val="clear" w:color="auto" w:fill="FFFFFF"/>
        </w:rPr>
        <w:t>有</w:t>
      </w:r>
      <w:r>
        <w:rPr>
          <w:rFonts w:ascii="Times New Roman" w:hAnsi="Times New Roman" w:eastAsia="方正仿宋简体" w:cs="Times New Roman"/>
          <w:sz w:val="30"/>
          <w:szCs w:val="30"/>
          <w:shd w:val="clear" w:color="auto" w:fill="FFFFFF"/>
        </w:rPr>
        <w:t>多个基础单的，时间优先；同价格档位上</w:t>
      </w:r>
      <w:r>
        <w:rPr>
          <w:rFonts w:hint="eastAsia" w:ascii="Times New Roman" w:hAnsi="Times New Roman" w:eastAsia="方正仿宋简体" w:cs="Times New Roman"/>
          <w:sz w:val="30"/>
          <w:szCs w:val="30"/>
          <w:shd w:val="clear" w:color="auto" w:fill="FFFFFF"/>
        </w:rPr>
        <w:t>有</w:t>
      </w:r>
      <w:r>
        <w:rPr>
          <w:rFonts w:ascii="Times New Roman" w:hAnsi="Times New Roman" w:eastAsia="方正仿宋简体" w:cs="Times New Roman"/>
          <w:sz w:val="30"/>
          <w:szCs w:val="30"/>
          <w:shd w:val="clear" w:color="auto" w:fill="FFFFFF"/>
        </w:rPr>
        <w:t>多个套利合约参与的推导单，先跨期后跨品种，跨期内部近月优先，跨品种内部按交易所指定的合约优先级顺序依次成交。</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套利指令怎么进行推导，成交方式有哪些？</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套利指令有两种推导方式。</w:t>
      </w:r>
    </w:p>
    <w:p>
      <w:pPr>
        <w:ind w:firstLine="602" w:firstLineChars="200"/>
        <w:rPr>
          <w:rFonts w:ascii="Times New Roman" w:hAnsi="Times New Roman" w:eastAsia="方正仿宋简体" w:cs="Times New Roman"/>
          <w:sz w:val="30"/>
          <w:szCs w:val="30"/>
        </w:rPr>
      </w:pPr>
      <w:r>
        <w:rPr>
          <w:rFonts w:ascii="Times New Roman" w:hAnsi="Times New Roman" w:eastAsia="方正仿宋简体" w:cs="Times New Roman"/>
          <w:b/>
          <w:sz w:val="30"/>
          <w:szCs w:val="30"/>
        </w:rPr>
        <w:t>推入</w:t>
      </w:r>
      <w:r>
        <w:rPr>
          <w:rFonts w:ascii="Times New Roman" w:hAnsi="Times New Roman" w:eastAsia="方正仿宋简体" w:cs="Times New Roman"/>
          <w:sz w:val="30"/>
          <w:szCs w:val="30"/>
        </w:rPr>
        <w:t>：由两个腿合约组成一个套利合约</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买A 和 卖B可以推导出 买A-B，买A-B价格 = 买A – 卖B</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卖A 和 买B可以推导出 卖A-B，卖A-B价格 = 卖A – 买B</w:t>
      </w:r>
    </w:p>
    <w:p>
      <w:pPr>
        <w:ind w:firstLine="602" w:firstLineChars="200"/>
        <w:rPr>
          <w:rFonts w:ascii="Times New Roman" w:hAnsi="Times New Roman" w:eastAsia="方正仿宋简体" w:cs="Times New Roman"/>
          <w:sz w:val="30"/>
          <w:szCs w:val="30"/>
        </w:rPr>
      </w:pPr>
      <w:r>
        <w:rPr>
          <w:rFonts w:ascii="Times New Roman" w:hAnsi="Times New Roman" w:eastAsia="方正仿宋简体" w:cs="Times New Roman"/>
          <w:b/>
          <w:sz w:val="30"/>
          <w:szCs w:val="30"/>
        </w:rPr>
        <w:t>推出</w:t>
      </w:r>
      <w:r>
        <w:rPr>
          <w:rFonts w:ascii="Times New Roman" w:hAnsi="Times New Roman" w:eastAsia="方正仿宋简体" w:cs="Times New Roman"/>
          <w:sz w:val="30"/>
          <w:szCs w:val="30"/>
        </w:rPr>
        <w:t>：一个套利合约和1个腿合约组成另一个腿合约</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买A-B 和 买B 可以推导出 买A，买A价格 = 买A-B + 买B</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卖A-B 和 卖B 可以推导出 卖A，卖A价格 = 卖A-B + 卖B</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卖A-B 和 买A 可以推导出 买B，买B价格 = -卖A-B + 买A</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买A-B 和 卖A 可以推导出 卖B，卖B价格 = -买A-B + 卖A</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套利指令有三种成交方式。</w:t>
      </w:r>
    </w:p>
    <w:p>
      <w:pPr>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直接成交、推入成交和推出成交。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直接成交指两个套利指令报单成交。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推入成交指由两个腿合约上的报单进行组合成一个套利合约报单，与报入的套利指令成交。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推出成交指由一个套利指令报单和一个腿合约报单组合成一个腿合约报单，与另一个腿合约报单成交。</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套利交易指令的开平标识的含义是什么？</w:t>
      </w:r>
    </w:p>
    <w:p>
      <w:pPr>
        <w:pStyle w:val="7"/>
        <w:widowControl/>
        <w:spacing w:beforeAutospacing="0" w:afterAutospacing="0" w:line="360" w:lineRule="auto"/>
        <w:ind w:firstLine="600" w:firstLineChars="200"/>
        <w:jc w:val="both"/>
        <w:rPr>
          <w:rFonts w:ascii="Times New Roman" w:hAnsi="Times New Roman" w:eastAsia="方正仿宋简体"/>
          <w:sz w:val="30"/>
          <w:szCs w:val="30"/>
        </w:rPr>
      </w:pPr>
      <w:r>
        <w:rPr>
          <w:rFonts w:ascii="Times New Roman" w:hAnsi="Times New Roman" w:eastAsia="方正仿宋简体"/>
          <w:sz w:val="30"/>
          <w:szCs w:val="30"/>
          <w:shd w:val="clear" w:color="auto" w:fill="FFFFFF"/>
        </w:rPr>
        <w:t>   套利指令的两个腿合约可以分别选择开平标志，可同时开仓、同时平仓（平今或平昨）、也可一开一平。具体由市场参与者在报单时自主选择。</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套利指令成交会刷新行情吗？</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套利指令成交</w:t>
      </w:r>
      <w:r>
        <w:rPr>
          <w:rFonts w:hint="eastAsia" w:ascii="Times New Roman" w:hAnsi="Times New Roman" w:eastAsia="方正仿宋简体" w:cs="Times New Roman"/>
          <w:sz w:val="30"/>
          <w:szCs w:val="30"/>
        </w:rPr>
        <w:t>可以</w:t>
      </w:r>
      <w:r>
        <w:rPr>
          <w:rFonts w:ascii="Times New Roman" w:hAnsi="Times New Roman" w:eastAsia="方正仿宋简体" w:cs="Times New Roman"/>
          <w:sz w:val="30"/>
          <w:szCs w:val="30"/>
        </w:rPr>
        <w:t>刷新套利合约的最新价、最高价、最低价、开盘价、收盘价；可以刷新腿合约的最新价、最高价、最低价、开盘价</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收盘价</w:t>
      </w:r>
      <w:r>
        <w:rPr>
          <w:rFonts w:hint="eastAsia" w:ascii="Times New Roman" w:hAnsi="Times New Roman" w:eastAsia="方正仿宋简体" w:cs="Times New Roman"/>
          <w:sz w:val="30"/>
          <w:szCs w:val="30"/>
        </w:rPr>
        <w:t>、</w:t>
      </w:r>
      <w:r>
        <w:rPr>
          <w:rFonts w:ascii="Times New Roman" w:hAnsi="Times New Roman" w:eastAsia="方正仿宋简体" w:cs="Times New Roman"/>
          <w:sz w:val="30"/>
          <w:szCs w:val="30"/>
        </w:rPr>
        <w:t>成交量、成交额、持仓量。推导单不会出现在行情中，行情中的未成交申报都是基础单。</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套利指令报单及成交后如何计算保证金？</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套利指令的保证金计算将拆到两腿合约上分别计算。报单或撤单时以各腿合约昨结算价计算应冻结或释放的保证金，成交后以成交价计算实际占用的保证金，并纳入单向大边保证金计算。</w:t>
      </w:r>
    </w:p>
    <w:p>
      <w:pPr>
        <w:numPr>
          <w:ilvl w:val="0"/>
          <w:numId w:val="4"/>
        </w:numPr>
        <w:spacing w:line="360" w:lineRule="auto"/>
        <w:ind w:firstLine="602" w:firstLineChars="20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套利指令的成交是否计入当日结算价结算？</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由套利指令产生的成交全部纳入相应腿合约当日结算价计算范围。</w:t>
      </w:r>
    </w:p>
    <w:p>
      <w:pPr>
        <w:numPr>
          <w:ilvl w:val="0"/>
          <w:numId w:val="4"/>
        </w:numPr>
        <w:spacing w:line="360" w:lineRule="auto"/>
        <w:ind w:firstLine="560"/>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套利指令的交易手续费如何收取？</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套利指令的交易手续费拆分到两腿分别计算。</w:t>
      </w:r>
    </w:p>
    <w:p>
      <w:pPr>
        <w:numPr>
          <w:ilvl w:val="0"/>
          <w:numId w:val="4"/>
        </w:numPr>
        <w:spacing w:line="360" w:lineRule="auto"/>
        <w:ind w:firstLine="562"/>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套利指令是否豁免异常交易行为？</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因套利指令产生的自成交不构成异常交易行为，其余异常交易行为豁免与限价指令保持一致，不豁免频繁报撤单、大额报撤单等。</w:t>
      </w:r>
    </w:p>
    <w:p>
      <w:pPr>
        <w:numPr>
          <w:ilvl w:val="0"/>
          <w:numId w:val="4"/>
        </w:numPr>
        <w:spacing w:line="360" w:lineRule="auto"/>
        <w:ind w:firstLine="562"/>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套利指令的申报费信息量如何统计？</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套利指令的信息量拆分到相应腿合约分别计算。</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套利指令的报单，对应腿合约各计一笔信息量；套利指令交易时段客户撤单，对应腿合约各计一笔信息量；收盘时未成交的套利指令由交易所统一处理的，不计算信息量。</w:t>
      </w:r>
    </w:p>
    <w:p>
      <w:pPr>
        <w:numPr>
          <w:ilvl w:val="0"/>
          <w:numId w:val="4"/>
        </w:numPr>
        <w:spacing w:line="360" w:lineRule="auto"/>
        <w:ind w:firstLine="562"/>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套利指令交易示例</w:t>
      </w:r>
    </w:p>
    <w:p>
      <w:pPr>
        <w:spacing w:line="360" w:lineRule="auto"/>
        <w:ind w:firstLine="602" w:firstLineChars="200"/>
        <w:rPr>
          <w:rFonts w:ascii="Times New Roman" w:hAnsi="Times New Roman" w:eastAsia="方正仿宋简体" w:cs="Times New Roman"/>
          <w:b/>
          <w:sz w:val="30"/>
          <w:szCs w:val="30"/>
        </w:rPr>
      </w:pPr>
      <w:r>
        <w:rPr>
          <w:rFonts w:ascii="Times New Roman" w:hAnsi="Times New Roman" w:eastAsia="方正仿宋简体" w:cs="Times New Roman"/>
          <w:b/>
          <w:sz w:val="30"/>
          <w:szCs w:val="30"/>
        </w:rPr>
        <w:t>1）套利指令直接成交：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当前报单簿A-B为：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-100，1手</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A-B的最新价为0，A的最新价为9500。</w:t>
      </w:r>
    </w:p>
    <w:p>
      <w:pPr>
        <w:spacing w:line="360" w:lineRule="auto"/>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此时，系统报入一笔1手买A-B，价格为100，可以和卖A-B直接成交。A-B成交价为三价取中 = Mid {100，-100，0} = 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A成交价 = A的最新价 = 9500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B成交价 = A成交价 – A-B成交价 = 9500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成交数量为</w:t>
      </w:r>
      <w:r>
        <w:rPr>
          <w:rFonts w:hint="eastAsia" w:ascii="Times New Roman" w:hAnsi="Times New Roman" w:eastAsia="方正仿宋简体" w:cs="Times New Roman"/>
          <w:sz w:val="30"/>
          <w:szCs w:val="30"/>
        </w:rPr>
        <w:t>1手。</w:t>
      </w:r>
    </w:p>
    <w:p>
      <w:pPr>
        <w:spacing w:line="360" w:lineRule="auto"/>
        <w:ind w:firstLine="602" w:firstLineChars="200"/>
        <w:rPr>
          <w:rFonts w:ascii="Times New Roman" w:hAnsi="Times New Roman" w:eastAsia="方正仿宋简体" w:cs="Times New Roman"/>
          <w:b/>
          <w:sz w:val="30"/>
          <w:szCs w:val="30"/>
        </w:rPr>
      </w:pPr>
      <w:r>
        <w:rPr>
          <w:rFonts w:ascii="Times New Roman" w:hAnsi="Times New Roman" w:eastAsia="方正仿宋简体" w:cs="Times New Roman"/>
          <w:b/>
          <w:sz w:val="30"/>
          <w:szCs w:val="30"/>
        </w:rPr>
        <w:t>2）推入成交：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当前报单簿A为：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9500，4手</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9600，2手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A-B的最新价为200。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此时，报入一笔5手买A-B，价格为100。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卖A和买B可以组合推导出卖A-B，价格为-100，数量为2手。推导出的卖A-B和直接报入的买A-B撮合成交。</w:t>
      </w:r>
    </w:p>
    <w:p>
      <w:pPr>
        <w:spacing w:line="360" w:lineRule="auto"/>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A-B成交价为三价取中 = Mid {100，-100，200} = 100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A成交价 = A报单价 = 9500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B成交价 = A成交价 – A-B成交价 = 9400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成交数量为2手。</w:t>
      </w:r>
    </w:p>
    <w:p>
      <w:pPr>
        <w:spacing w:line="360" w:lineRule="auto"/>
        <w:ind w:firstLine="602" w:firstLineChars="200"/>
        <w:rPr>
          <w:rFonts w:ascii="Times New Roman" w:hAnsi="Times New Roman" w:eastAsia="方正仿宋简体" w:cs="Times New Roman"/>
          <w:b/>
          <w:sz w:val="30"/>
          <w:szCs w:val="30"/>
        </w:rPr>
      </w:pPr>
      <w:r>
        <w:rPr>
          <w:rFonts w:ascii="Times New Roman" w:hAnsi="Times New Roman" w:eastAsia="方正仿宋简体" w:cs="Times New Roman"/>
          <w:b/>
          <w:sz w:val="30"/>
          <w:szCs w:val="30"/>
        </w:rPr>
        <w:t>3）推出成交：</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当前报单簿A-B为：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-100，4手</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9500，2手</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A的最新价为9600。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此时，报入一笔5手买A，价格为9500。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卖A-B和卖B可以推导出卖A，价格为9400，数量为2手。推导出的卖A和直接报入的买A撮合成交。</w:t>
      </w:r>
    </w:p>
    <w:p>
      <w:pPr>
        <w:spacing w:line="360" w:lineRule="auto"/>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A成交价为三价取中 = Mid {9500，9400，9600} = 9500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B成交价 = B报单价 = 9500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A-B成交价 = A成交价 – B成交价 = 9400 = 0</w:t>
      </w:r>
    </w:p>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成交数量为2手。</w:t>
      </w: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pStyle w:val="14"/>
        <w:numPr>
          <w:ilvl w:val="0"/>
          <w:numId w:val="5"/>
        </w:numPr>
        <w:spacing w:line="360" w:lineRule="auto"/>
        <w:ind w:firstLine="562" w:firstLineChars="0"/>
        <w:rPr>
          <w:rFonts w:ascii="Times New Roman" w:hAnsi="Times New Roman" w:eastAsia="方正仿宋简体" w:cs="Times New Roman"/>
          <w:b/>
          <w:bCs/>
          <w:vanish/>
          <w:sz w:val="30"/>
          <w:szCs w:val="30"/>
        </w:rPr>
      </w:pPr>
    </w:p>
    <w:p>
      <w:pPr>
        <w:numPr>
          <w:ilvl w:val="0"/>
          <w:numId w:val="5"/>
        </w:numPr>
        <w:spacing w:line="360" w:lineRule="auto"/>
        <w:ind w:firstLine="562"/>
        <w:rPr>
          <w:rFonts w:ascii="Times New Roman" w:hAnsi="Times New Roman" w:eastAsia="方正仿宋简体" w:cs="Times New Roman"/>
          <w:b/>
          <w:bCs/>
          <w:sz w:val="30"/>
          <w:szCs w:val="30"/>
        </w:rPr>
      </w:pPr>
      <w:r>
        <w:rPr>
          <w:rFonts w:ascii="Times New Roman" w:hAnsi="Times New Roman" w:eastAsia="方正仿宋简体" w:cs="Times New Roman"/>
          <w:b/>
          <w:bCs/>
          <w:sz w:val="30"/>
          <w:szCs w:val="30"/>
        </w:rPr>
        <w:t>套利指令行情刷新示例</w:t>
      </w:r>
    </w:p>
    <w:p>
      <w:pPr>
        <w:pStyle w:val="14"/>
        <w:spacing w:line="360" w:lineRule="auto"/>
        <w:ind w:left="420" w:firstLine="0" w:firstLineChars="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当前报单簿A-B为：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200，1手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买2</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100，1手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卖2</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r>
    </w:tbl>
    <w:p>
      <w:pPr>
        <w:pStyle w:val="14"/>
        <w:spacing w:line="360" w:lineRule="auto"/>
        <w:ind w:left="420" w:firstLine="0" w:firstLineChars="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当前报单簿A为：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10100，1手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r>
    </w:tbl>
    <w:p>
      <w:pPr>
        <w:pStyle w:val="14"/>
        <w:spacing w:line="360" w:lineRule="auto"/>
        <w:ind w:left="420" w:firstLine="0" w:firstLineChars="0"/>
        <w:rPr>
          <w:rFonts w:ascii="Times New Roman" w:hAnsi="Times New Roman" w:eastAsia="方正仿宋简体" w:cs="Times New Roman"/>
          <w:sz w:val="30"/>
          <w:szCs w:val="30"/>
        </w:rPr>
      </w:pPr>
      <w:r>
        <w:rPr>
          <w:rFonts w:ascii="Times New Roman" w:hAnsi="Times New Roman" w:eastAsia="方正仿宋简体" w:cs="Times New Roman"/>
          <w:sz w:val="30"/>
          <w:szCs w:val="30"/>
        </w:rPr>
        <w:t>当前报单簿B为：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9900，1手</w:t>
            </w:r>
          </w:p>
        </w:tc>
      </w:tr>
    </w:tbl>
    <w:p>
      <w:pPr>
        <w:ind w:firstLine="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A-B的最新价为-100，A的最新价为10000，B的最新价为9800。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此时，报入一笔1手卖A-B，价格为100。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A和卖B可以推导出买A-B，价格为200，报单簿A-B上存在一笔基础报单买A-B，价格也是200。价格相同的情况下，基础单优先成交。故A-B报单簿上的基础买A-B与新报入的卖A-B成交，而非买A和卖B推导出的买A-B与新报入的卖A-B成交。</w:t>
      </w:r>
    </w:p>
    <w:p>
      <w:pPr>
        <w:pStyle w:val="14"/>
        <w:numPr>
          <w:ilvl w:val="0"/>
          <w:numId w:val="6"/>
        </w:numPr>
        <w:spacing w:line="360" w:lineRule="auto"/>
        <w:ind w:firstLineChars="0"/>
        <w:rPr>
          <w:rFonts w:ascii="Times New Roman" w:hAnsi="Times New Roman" w:eastAsia="方正仿宋简体" w:cs="Times New Roman"/>
          <w:sz w:val="30"/>
          <w:szCs w:val="30"/>
        </w:rPr>
      </w:pPr>
      <w:r>
        <w:rPr>
          <w:rFonts w:ascii="Times New Roman" w:hAnsi="Times New Roman" w:eastAsia="方正仿宋简体" w:cs="Times New Roman"/>
          <w:sz w:val="30"/>
          <w:szCs w:val="30"/>
        </w:rPr>
        <w:t>B成交价为三价取中 = Mid {-100，100，200} = 100</w:t>
      </w:r>
    </w:p>
    <w:p>
      <w:pPr>
        <w:ind w:left="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A成交价 = A的最新价 = 10000</w:t>
      </w:r>
    </w:p>
    <w:p>
      <w:pPr>
        <w:ind w:left="560"/>
        <w:rPr>
          <w:rFonts w:ascii="Times New Roman" w:hAnsi="Times New Roman" w:eastAsia="方正仿宋简体" w:cs="Times New Roman"/>
          <w:sz w:val="30"/>
          <w:szCs w:val="30"/>
        </w:rPr>
      </w:pPr>
      <w:r>
        <w:rPr>
          <w:rFonts w:ascii="Times New Roman" w:hAnsi="Times New Roman" w:eastAsia="方正仿宋简体" w:cs="Times New Roman"/>
          <w:sz w:val="30"/>
          <w:szCs w:val="30"/>
        </w:rPr>
        <w:t>B成交价 = A成交价 – A-B成交价 = 9900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A-B的最新价刷新为100，A的最新价仍是10000，B的最新价刷新为9900。</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A和B的单边成交量、持仓量对应增加1手（假设以上报单均为开仓），套利合约无成交、持仓信息。</w:t>
      </w:r>
    </w:p>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成交后，报单簿A-B为：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100，1手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w:t>
            </w:r>
            <w:r>
              <w:rPr>
                <w:rFonts w:hint="eastAsia" w:ascii="Times New Roman" w:hAnsi="Times New Roman" w:eastAsia="方正仿宋简体" w:cs="Times New Roman"/>
                <w:sz w:val="30"/>
                <w:szCs w:val="30"/>
              </w:rPr>
              <w:t>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r>
    </w:tbl>
    <w:p>
      <w:pPr>
        <w:pStyle w:val="14"/>
        <w:spacing w:line="360" w:lineRule="auto"/>
        <w:ind w:left="420" w:firstLine="0" w:firstLineChars="0"/>
        <w:rPr>
          <w:rFonts w:ascii="Times New Roman" w:hAnsi="Times New Roman" w:eastAsia="方正仿宋简体" w:cs="Times New Roman"/>
          <w:sz w:val="30"/>
          <w:szCs w:val="30"/>
        </w:rPr>
      </w:pPr>
      <w:r>
        <w:rPr>
          <w:rFonts w:ascii="Times New Roman" w:hAnsi="Times New Roman" w:eastAsia="方正仿宋简体" w:cs="Times New Roman"/>
          <w:sz w:val="30"/>
          <w:szCs w:val="30"/>
        </w:rPr>
        <w:t>报单簿A为：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10100，1手</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r>
    </w:tbl>
    <w:p>
      <w:pPr>
        <w:pStyle w:val="14"/>
        <w:spacing w:line="360" w:lineRule="auto"/>
        <w:ind w:left="420" w:firstLine="0" w:firstLineChars="0"/>
        <w:rPr>
          <w:rFonts w:ascii="Times New Roman" w:hAnsi="Times New Roman" w:eastAsia="方正仿宋简体" w:cs="Times New Roman"/>
          <w:sz w:val="30"/>
          <w:szCs w:val="30"/>
        </w:rPr>
      </w:pPr>
      <w:r>
        <w:rPr>
          <w:rFonts w:ascii="Times New Roman" w:hAnsi="Times New Roman" w:eastAsia="方正仿宋简体" w:cs="Times New Roman"/>
          <w:sz w:val="30"/>
          <w:szCs w:val="30"/>
        </w:rPr>
        <w:t>报单簿B为：</w:t>
      </w:r>
    </w:p>
    <w:tbl>
      <w:tblPr>
        <w:tblStyle w:val="8"/>
        <w:tblW w:w="5059" w:type="pct"/>
        <w:tblInd w:w="0" w:type="dxa"/>
        <w:tblLayout w:type="autofit"/>
        <w:tblCellMar>
          <w:top w:w="0" w:type="dxa"/>
          <w:left w:w="0" w:type="dxa"/>
          <w:bottom w:w="0" w:type="dxa"/>
          <w:right w:w="0" w:type="dxa"/>
        </w:tblCellMar>
      </w:tblPr>
      <w:tblGrid>
        <w:gridCol w:w="2131"/>
        <w:gridCol w:w="2131"/>
        <w:gridCol w:w="2081"/>
        <w:gridCol w:w="2081"/>
      </w:tblGrid>
      <w:tr>
        <w:tblPrEx>
          <w:tblCellMar>
            <w:top w:w="0" w:type="dxa"/>
            <w:left w:w="0" w:type="dxa"/>
            <w:bottom w:w="0" w:type="dxa"/>
            <w:right w:w="0" w:type="dxa"/>
          </w:tblCellMar>
        </w:tblPrEx>
        <w:tc>
          <w:tcPr>
            <w:tcW w:w="253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买方</w:t>
            </w:r>
          </w:p>
        </w:tc>
        <w:tc>
          <w:tcPr>
            <w:tcW w:w="2470" w:type="pct"/>
            <w:gridSpan w:val="2"/>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卖方</w:t>
            </w:r>
          </w:p>
        </w:tc>
      </w:tr>
      <w:tr>
        <w:tblPrEx>
          <w:tblCellMar>
            <w:top w:w="0" w:type="dxa"/>
            <w:left w:w="0" w:type="dxa"/>
            <w:bottom w:w="0" w:type="dxa"/>
            <w:right w:w="0" w:type="dxa"/>
          </w:tblCellMar>
        </w:tblPrEx>
        <w:tc>
          <w:tcPr>
            <w:tcW w:w="126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买1</w:t>
            </w:r>
          </w:p>
        </w:tc>
        <w:tc>
          <w:tcPr>
            <w:tcW w:w="126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w:t>
            </w:r>
          </w:p>
        </w:tc>
        <w:tc>
          <w:tcPr>
            <w:tcW w:w="1235" w:type="pct"/>
            <w:tcBorders>
              <w:top w:val="single" w:color="000000" w:sz="8" w:space="0"/>
              <w:left w:val="single" w:color="000000" w:sz="8" w:space="0"/>
              <w:bottom w:val="single" w:color="000000" w:sz="8" w:space="0"/>
              <w:right w:val="single" w:color="000000" w:sz="8" w:space="0"/>
            </w:tcBorders>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卖1</w:t>
            </w:r>
          </w:p>
        </w:tc>
        <w:tc>
          <w:tcPr>
            <w:tcW w:w="1235" w:type="pct"/>
            <w:tcBorders>
              <w:top w:val="single" w:color="000000" w:sz="8" w:space="0"/>
              <w:left w:val="single" w:color="000000" w:sz="8" w:space="0"/>
              <w:bottom w:val="single" w:color="000000" w:sz="8" w:space="0"/>
              <w:right w:val="single" w:color="000000" w:sz="8" w:space="0"/>
            </w:tcBorders>
            <w:shd w:val="clear" w:color="auto" w:fill="auto"/>
            <w:tcMar>
              <w:top w:w="15" w:type="dxa"/>
              <w:left w:w="108" w:type="dxa"/>
              <w:bottom w:w="0" w:type="dxa"/>
              <w:right w:w="108" w:type="dxa"/>
            </w:tcMar>
          </w:tcPr>
          <w:p>
            <w:pPr>
              <w:widowControl/>
              <w:jc w:val="center"/>
              <w:rPr>
                <w:rFonts w:ascii="Times New Roman" w:hAnsi="Times New Roman" w:eastAsia="方正仿宋简体" w:cs="Times New Roman"/>
                <w:sz w:val="30"/>
                <w:szCs w:val="30"/>
              </w:rPr>
            </w:pPr>
            <w:r>
              <w:rPr>
                <w:rFonts w:ascii="Times New Roman" w:hAnsi="Times New Roman" w:eastAsia="方正仿宋简体" w:cs="Times New Roman"/>
                <w:sz w:val="30"/>
                <w:szCs w:val="30"/>
              </w:rPr>
              <w:t>9900，1手</w:t>
            </w:r>
          </w:p>
        </w:tc>
      </w:tr>
    </w:tbl>
    <w:p>
      <w:pPr>
        <w:spacing w:line="360" w:lineRule="auto"/>
        <w:ind w:firstLine="600" w:firstLineChars="200"/>
        <w:rPr>
          <w:rFonts w:ascii="Times New Roman" w:hAnsi="Times New Roman" w:eastAsia="方正仿宋简体" w:cs="Times New Roman"/>
          <w:sz w:val="30"/>
          <w:szCs w:val="30"/>
        </w:rPr>
      </w:pPr>
      <w:r>
        <w:rPr>
          <w:rFonts w:ascii="Times New Roman" w:hAnsi="Times New Roman" w:eastAsia="方正仿宋简体" w:cs="Times New Roman"/>
          <w:sz w:val="30"/>
          <w:szCs w:val="30"/>
        </w:rPr>
        <w:t>需要注意的是，在本例中，由于基础单优先成交且A的成交价由A的最新价推导得出，所以即使报单簿A的买1价优于最后A的成交价，A的买1报单也无法成交。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仿宋简体">
    <w:panose1 w:val="02000000000000000000"/>
    <w:charset w:val="86"/>
    <w:family w:val="auto"/>
    <w:pitch w:val="default"/>
    <w:sig w:usb0="00000001" w:usb1="08000000" w:usb2="00000000" w:usb3="00000000" w:csb0="00040000" w:csb1="00000000"/>
  </w:font>
  <w:font w:name="方正黑体简体">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80B827"/>
    <w:multiLevelType w:val="singleLevel"/>
    <w:tmpl w:val="C480B827"/>
    <w:lvl w:ilvl="0" w:tentative="0">
      <w:start w:val="1"/>
      <w:numFmt w:val="decimal"/>
      <w:suff w:val="nothing"/>
      <w:lvlText w:val="%1、"/>
      <w:lvlJc w:val="left"/>
    </w:lvl>
  </w:abstractNum>
  <w:abstractNum w:abstractNumId="1">
    <w:nsid w:val="CE135C99"/>
    <w:multiLevelType w:val="singleLevel"/>
    <w:tmpl w:val="CE135C99"/>
    <w:lvl w:ilvl="0" w:tentative="0">
      <w:start w:val="1"/>
      <w:numFmt w:val="decimal"/>
      <w:suff w:val="nothing"/>
      <w:lvlText w:val="%1、"/>
      <w:lvlJc w:val="left"/>
    </w:lvl>
  </w:abstractNum>
  <w:abstractNum w:abstractNumId="2">
    <w:nsid w:val="EFEF5574"/>
    <w:multiLevelType w:val="singleLevel"/>
    <w:tmpl w:val="EFEF5574"/>
    <w:lvl w:ilvl="0" w:tentative="0">
      <w:start w:val="1"/>
      <w:numFmt w:val="chineseCounting"/>
      <w:suff w:val="nothing"/>
      <w:lvlText w:val="%1、"/>
      <w:lvlJc w:val="left"/>
      <w:rPr>
        <w:rFonts w:hint="eastAsia"/>
      </w:rPr>
    </w:lvl>
  </w:abstractNum>
  <w:abstractNum w:abstractNumId="3">
    <w:nsid w:val="01209F18"/>
    <w:multiLevelType w:val="singleLevel"/>
    <w:tmpl w:val="01209F18"/>
    <w:lvl w:ilvl="0" w:tentative="0">
      <w:start w:val="1"/>
      <w:numFmt w:val="decimal"/>
      <w:suff w:val="nothing"/>
      <w:lvlText w:val="%1、"/>
      <w:lvlJc w:val="left"/>
    </w:lvl>
  </w:abstractNum>
  <w:abstractNum w:abstractNumId="4">
    <w:nsid w:val="5474359D"/>
    <w:multiLevelType w:val="multilevel"/>
    <w:tmpl w:val="5474359D"/>
    <w:lvl w:ilvl="0" w:tentative="0">
      <w:start w:val="1"/>
      <w:numFmt w:val="upperLetter"/>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77110C5D"/>
    <w:multiLevelType w:val="singleLevel"/>
    <w:tmpl w:val="77110C5D"/>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A7C96"/>
    <w:rsid w:val="001750F4"/>
    <w:rsid w:val="001C6A3D"/>
    <w:rsid w:val="002263C9"/>
    <w:rsid w:val="00392498"/>
    <w:rsid w:val="003D12C2"/>
    <w:rsid w:val="004B3507"/>
    <w:rsid w:val="005A7E45"/>
    <w:rsid w:val="005D7DE6"/>
    <w:rsid w:val="006B2954"/>
    <w:rsid w:val="00791C5B"/>
    <w:rsid w:val="00834A08"/>
    <w:rsid w:val="00850B53"/>
    <w:rsid w:val="00985B24"/>
    <w:rsid w:val="009A7B3D"/>
    <w:rsid w:val="00B11B6C"/>
    <w:rsid w:val="00B2349D"/>
    <w:rsid w:val="00B77231"/>
    <w:rsid w:val="00C61E64"/>
    <w:rsid w:val="00C74950"/>
    <w:rsid w:val="00D45504"/>
    <w:rsid w:val="00EC1CE0"/>
    <w:rsid w:val="00EE3EFE"/>
    <w:rsid w:val="00EF32B2"/>
    <w:rsid w:val="00FE06EA"/>
    <w:rsid w:val="03CD6F3E"/>
    <w:rsid w:val="0CB7889D"/>
    <w:rsid w:val="0F4D1D8B"/>
    <w:rsid w:val="154F0106"/>
    <w:rsid w:val="177F4915"/>
    <w:rsid w:val="187C3D68"/>
    <w:rsid w:val="1C7F98AA"/>
    <w:rsid w:val="1E4C7F89"/>
    <w:rsid w:val="1F8FCC95"/>
    <w:rsid w:val="1FDDB510"/>
    <w:rsid w:val="260158AC"/>
    <w:rsid w:val="27F773A2"/>
    <w:rsid w:val="2A9679E5"/>
    <w:rsid w:val="2B586456"/>
    <w:rsid w:val="2DBB441B"/>
    <w:rsid w:val="2DEDD615"/>
    <w:rsid w:val="33729FB7"/>
    <w:rsid w:val="37FF8C2B"/>
    <w:rsid w:val="3B5BC488"/>
    <w:rsid w:val="3B8AB634"/>
    <w:rsid w:val="3EDE5C70"/>
    <w:rsid w:val="3F3BC057"/>
    <w:rsid w:val="3F6B6C1D"/>
    <w:rsid w:val="3F6E30DA"/>
    <w:rsid w:val="3F750C65"/>
    <w:rsid w:val="3FBE3A11"/>
    <w:rsid w:val="3FBFE396"/>
    <w:rsid w:val="3FFA2CF9"/>
    <w:rsid w:val="3FFFDB62"/>
    <w:rsid w:val="46F26E20"/>
    <w:rsid w:val="47A877C9"/>
    <w:rsid w:val="47C00CCC"/>
    <w:rsid w:val="47FC7059"/>
    <w:rsid w:val="48AC1250"/>
    <w:rsid w:val="48E44E8E"/>
    <w:rsid w:val="49192CCB"/>
    <w:rsid w:val="4BBD76FF"/>
    <w:rsid w:val="4C252331"/>
    <w:rsid w:val="4DFFBD57"/>
    <w:rsid w:val="4F9E89DD"/>
    <w:rsid w:val="4FFE8274"/>
    <w:rsid w:val="535B5D4C"/>
    <w:rsid w:val="5677C355"/>
    <w:rsid w:val="5677D50B"/>
    <w:rsid w:val="577625DC"/>
    <w:rsid w:val="578B6D82"/>
    <w:rsid w:val="5A3F0176"/>
    <w:rsid w:val="5B6797D9"/>
    <w:rsid w:val="5BFE90F6"/>
    <w:rsid w:val="5CF71219"/>
    <w:rsid w:val="5E662F4B"/>
    <w:rsid w:val="5E76B51A"/>
    <w:rsid w:val="5EBF1F7C"/>
    <w:rsid w:val="5EDF5C26"/>
    <w:rsid w:val="5EFF782E"/>
    <w:rsid w:val="5FB1C83A"/>
    <w:rsid w:val="5FF2AAEE"/>
    <w:rsid w:val="5FFF73C3"/>
    <w:rsid w:val="62D1B19F"/>
    <w:rsid w:val="63EFE8C9"/>
    <w:rsid w:val="65BBE83E"/>
    <w:rsid w:val="65EFD905"/>
    <w:rsid w:val="65F86A28"/>
    <w:rsid w:val="67FEEEA3"/>
    <w:rsid w:val="696279DD"/>
    <w:rsid w:val="69DB153D"/>
    <w:rsid w:val="69F30421"/>
    <w:rsid w:val="6A987763"/>
    <w:rsid w:val="6B4D0219"/>
    <w:rsid w:val="6BC11CB2"/>
    <w:rsid w:val="6C823EF2"/>
    <w:rsid w:val="6C9715FD"/>
    <w:rsid w:val="6CFF5209"/>
    <w:rsid w:val="6D8819DC"/>
    <w:rsid w:val="6E217E67"/>
    <w:rsid w:val="6F7D5E36"/>
    <w:rsid w:val="6F7E8B52"/>
    <w:rsid w:val="72DFD2C1"/>
    <w:rsid w:val="7386708A"/>
    <w:rsid w:val="75E6CD1D"/>
    <w:rsid w:val="777D037E"/>
    <w:rsid w:val="777EA281"/>
    <w:rsid w:val="77F62C97"/>
    <w:rsid w:val="77FF7C34"/>
    <w:rsid w:val="78827754"/>
    <w:rsid w:val="7A2A7C96"/>
    <w:rsid w:val="7B70AB50"/>
    <w:rsid w:val="7BCFF75D"/>
    <w:rsid w:val="7BFB9544"/>
    <w:rsid w:val="7BFFCDF4"/>
    <w:rsid w:val="7C484D8B"/>
    <w:rsid w:val="7D641B1E"/>
    <w:rsid w:val="7DE7BBC6"/>
    <w:rsid w:val="7DF76434"/>
    <w:rsid w:val="7DFEC62B"/>
    <w:rsid w:val="7E8B4A43"/>
    <w:rsid w:val="7EBF55A7"/>
    <w:rsid w:val="7EFBA6F9"/>
    <w:rsid w:val="7F979129"/>
    <w:rsid w:val="7FA7EAE4"/>
    <w:rsid w:val="7FAA5774"/>
    <w:rsid w:val="7FBE1322"/>
    <w:rsid w:val="7FBF63F8"/>
    <w:rsid w:val="7FDF996A"/>
    <w:rsid w:val="7FE5B1CB"/>
    <w:rsid w:val="7FEEB07E"/>
    <w:rsid w:val="8628CA6B"/>
    <w:rsid w:val="87DA3B35"/>
    <w:rsid w:val="95FF348A"/>
    <w:rsid w:val="9EF6DAEC"/>
    <w:rsid w:val="9F8736B9"/>
    <w:rsid w:val="9FEAD8DC"/>
    <w:rsid w:val="9FFBDA42"/>
    <w:rsid w:val="AE7FC752"/>
    <w:rsid w:val="AEDD42FE"/>
    <w:rsid w:val="AF779A38"/>
    <w:rsid w:val="AFABBD4D"/>
    <w:rsid w:val="AFF5881F"/>
    <w:rsid w:val="B19FE274"/>
    <w:rsid w:val="B47FF8AF"/>
    <w:rsid w:val="B51D8204"/>
    <w:rsid w:val="B5EC7140"/>
    <w:rsid w:val="B5F65D65"/>
    <w:rsid w:val="B7DE4B0C"/>
    <w:rsid w:val="BB8EB8FE"/>
    <w:rsid w:val="BBEB9E45"/>
    <w:rsid w:val="BBF8236E"/>
    <w:rsid w:val="BE7FF610"/>
    <w:rsid w:val="BF7901B1"/>
    <w:rsid w:val="BFCE93C8"/>
    <w:rsid w:val="BFFD1B63"/>
    <w:rsid w:val="BFFF0FE4"/>
    <w:rsid w:val="CAB95248"/>
    <w:rsid w:val="CEF73544"/>
    <w:rsid w:val="CF3FCE0C"/>
    <w:rsid w:val="DCFA2C91"/>
    <w:rsid w:val="DF7FB103"/>
    <w:rsid w:val="DFFFCDF6"/>
    <w:rsid w:val="E04F36D9"/>
    <w:rsid w:val="E47735BB"/>
    <w:rsid w:val="E4EFD0E8"/>
    <w:rsid w:val="E7DF6F4E"/>
    <w:rsid w:val="E7FDA558"/>
    <w:rsid w:val="E9BE73C4"/>
    <w:rsid w:val="EBF6BC8B"/>
    <w:rsid w:val="EDFC6E51"/>
    <w:rsid w:val="EFD7465D"/>
    <w:rsid w:val="EFEFA24A"/>
    <w:rsid w:val="EFFFB3B8"/>
    <w:rsid w:val="F37F4D1B"/>
    <w:rsid w:val="F3DA9C86"/>
    <w:rsid w:val="F6EDAC41"/>
    <w:rsid w:val="F79751EE"/>
    <w:rsid w:val="F7B6ACBA"/>
    <w:rsid w:val="F7B6CF39"/>
    <w:rsid w:val="F7BC20D6"/>
    <w:rsid w:val="FB76B6E2"/>
    <w:rsid w:val="FBCF6A4D"/>
    <w:rsid w:val="FCD93A48"/>
    <w:rsid w:val="FD7C3B17"/>
    <w:rsid w:val="FD9FC531"/>
    <w:rsid w:val="FDFF3764"/>
    <w:rsid w:val="FE7AF5E2"/>
    <w:rsid w:val="FED6079F"/>
    <w:rsid w:val="FEE7AE66"/>
    <w:rsid w:val="FEEF60AC"/>
    <w:rsid w:val="FEF71EF3"/>
    <w:rsid w:val="FF6D3343"/>
    <w:rsid w:val="FF7D16D5"/>
    <w:rsid w:val="FFB7E2A6"/>
    <w:rsid w:val="FFBDAE62"/>
    <w:rsid w:val="FFBE0838"/>
    <w:rsid w:val="FFBEA713"/>
    <w:rsid w:val="FFBFF64B"/>
    <w:rsid w:val="FFD6AF38"/>
    <w:rsid w:val="FFEF728D"/>
    <w:rsid w:val="FFFE5236"/>
    <w:rsid w:val="FFFFA137"/>
    <w:rsid w:val="FFFFA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styleId="12">
    <w:name w:val="annotation reference"/>
    <w:basedOn w:val="9"/>
    <w:qFormat/>
    <w:uiPriority w:val="0"/>
    <w:rPr>
      <w:sz w:val="21"/>
      <w:szCs w:val="21"/>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 w:type="paragraph" w:styleId="1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29FCC702-17ED-4217-B067-5C0CA64B792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887</Words>
  <Characters>5060</Characters>
  <Lines>42</Lines>
  <Paragraphs>11</Paragraphs>
  <TotalTime>1</TotalTime>
  <ScaleCrop>false</ScaleCrop>
  <LinksUpToDate>false</LinksUpToDate>
  <CharactersWithSpaces>5936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2026-09-02T14:27:00Z</dcterms:created>
  <dc:creator>eryua</dc:creator>
  <cp:lastModifiedBy>jiang.tao</cp:lastModifiedBy>
  <cp:lastPrinted>2026-06-18T14:25:00Z</cp:lastPrinted>
  <dcterms:modified xsi:type="dcterms:W3CDTF">2026-10-30T15:22:18Z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1B531182D2023690D861FD69302C95E0</vt:lpwstr>
  </property>
  <property fmtid="{D5CDD505-2E9C-101B-9397-08002B2CF9AE}" pid="4" name="KSOTemplateDocerSaveRecord">
    <vt:lpwstr>eyJoZGlkIjoiM2IwNGMzY2E4NmZhYjMyMzY1Y2IyYzVhZTIzMTE0MzYiLCJ1c2VySWQiOiIxMjk2NjE3OTk3In0=</vt:lpwstr>
  </property>
</Properties>
</file>