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Times New Roman" w:hAnsi="Times New Roman" w:eastAsia="方正大标宋简体" w:cs="Times New Roman"/>
          <w:b/>
          <w:bCs/>
          <w:kern w:val="0"/>
          <w:sz w:val="42"/>
          <w:szCs w:val="42"/>
        </w:rPr>
      </w:pPr>
    </w:p>
    <w:p>
      <w:pPr>
        <w:widowControl/>
        <w:spacing w:line="600" w:lineRule="exact"/>
        <w:jc w:val="center"/>
        <w:rPr>
          <w:rFonts w:ascii="Times New Roman" w:hAnsi="Times New Roman" w:eastAsia="方正大标宋简体" w:cs="Times New Roman"/>
          <w:b/>
          <w:bCs/>
          <w:kern w:val="0"/>
          <w:sz w:val="42"/>
          <w:szCs w:val="42"/>
        </w:rPr>
      </w:pPr>
    </w:p>
    <w:p>
      <w:pPr>
        <w:widowControl/>
        <w:spacing w:line="600" w:lineRule="exact"/>
        <w:jc w:val="center"/>
        <w:rPr>
          <w:rFonts w:ascii="Times New Roman" w:hAnsi="Times New Roman" w:eastAsia="方正大标宋简体" w:cs="Times New Roman"/>
          <w:bCs/>
          <w:kern w:val="0"/>
          <w:sz w:val="42"/>
          <w:szCs w:val="42"/>
        </w:rPr>
      </w:pPr>
      <w:r>
        <w:rPr>
          <w:rFonts w:hint="eastAsia" w:ascii="Times New Roman" w:hAnsi="Times New Roman" w:eastAsia="方正大标宋简体" w:cs="Times New Roman"/>
          <w:bCs/>
          <w:kern w:val="0"/>
          <w:sz w:val="42"/>
          <w:szCs w:val="42"/>
        </w:rPr>
        <w:t>上海期货交易所</w:t>
      </w:r>
    </w:p>
    <w:p>
      <w:pPr>
        <w:widowControl/>
        <w:spacing w:line="600" w:lineRule="exact"/>
        <w:jc w:val="center"/>
        <w:rPr>
          <w:rFonts w:ascii="Times New Roman" w:hAnsi="Times New Roman" w:eastAsia="方正大标宋简体" w:cs="Times New Roman"/>
          <w:bCs/>
          <w:kern w:val="0"/>
          <w:sz w:val="42"/>
          <w:szCs w:val="42"/>
        </w:rPr>
      </w:pPr>
      <w:r>
        <w:rPr>
          <w:rFonts w:hint="eastAsia" w:ascii="Times New Roman" w:hAnsi="Times New Roman" w:eastAsia="方正大标宋简体" w:cs="Times New Roman"/>
          <w:bCs/>
          <w:kern w:val="0"/>
          <w:sz w:val="42"/>
          <w:szCs w:val="42"/>
        </w:rPr>
        <w:t>国债作为保证金业务指引</w:t>
      </w:r>
    </w:p>
    <w:p>
      <w:pPr>
        <w:widowControl/>
        <w:spacing w:line="600" w:lineRule="exact"/>
        <w:jc w:val="center"/>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2025</w:t>
      </w:r>
      <w:r>
        <w:rPr>
          <w:rFonts w:hint="eastAsia" w:ascii="Times New Roman" w:hAnsi="Times New Roman" w:eastAsia="方正仿宋简体" w:cs="Times New Roman"/>
          <w:sz w:val="30"/>
          <w:szCs w:val="30"/>
        </w:rPr>
        <w:t>年</w:t>
      </w:r>
      <w:r>
        <w:rPr>
          <w:rFonts w:ascii="Times New Roman" w:hAnsi="Times New Roman" w:eastAsia="方正仿宋简体" w:cs="Times New Roman"/>
          <w:sz w:val="30"/>
          <w:szCs w:val="30"/>
        </w:rPr>
        <w:t>11</w:t>
      </w:r>
      <w:r>
        <w:rPr>
          <w:rFonts w:hint="eastAsia" w:ascii="Times New Roman" w:hAnsi="Times New Roman" w:eastAsia="方正仿宋简体" w:cs="Times New Roman"/>
          <w:sz w:val="30"/>
          <w:szCs w:val="30"/>
        </w:rPr>
        <w:t>月）</w:t>
      </w:r>
    </w:p>
    <w:p>
      <w:pPr>
        <w:widowControl/>
        <w:spacing w:line="600" w:lineRule="exact"/>
        <w:jc w:val="center"/>
        <w:rPr>
          <w:rFonts w:ascii="Times New Roman" w:hAnsi="Times New Roman" w:eastAsia="仿宋_GB2312" w:cs="Times New Roman"/>
          <w:sz w:val="32"/>
          <w:szCs w:val="32"/>
        </w:rPr>
      </w:pPr>
    </w:p>
    <w:p>
      <w:pPr>
        <w:spacing w:line="600" w:lineRule="exact"/>
        <w:ind w:firstLine="600" w:firstLineChars="200"/>
        <w:rPr>
          <w:rFonts w:ascii="Times New Roman" w:hAnsi="Times New Roman" w:eastAsia="方正仿宋简体" w:cs="Times New Roman"/>
          <w:b/>
          <w:sz w:val="30"/>
          <w:szCs w:val="30"/>
        </w:rPr>
      </w:pPr>
      <w:r>
        <w:rPr>
          <w:rFonts w:hint="eastAsia" w:ascii="Times New Roman" w:hAnsi="Times New Roman" w:eastAsia="方正仿宋简体" w:cs="Times New Roman"/>
          <w:sz w:val="30"/>
          <w:szCs w:val="30"/>
        </w:rPr>
        <w:t>为规范会员、客户等参与上海期货交易所（以下简称上期所）国债作为保证金业务，根据《上海期货交易所交易规则》《上海期货交易所结算管理办法》等相关规定，制定本业务指引。</w:t>
      </w:r>
    </w:p>
    <w:p>
      <w:pPr>
        <w:pStyle w:val="16"/>
        <w:numPr>
          <w:ilvl w:val="0"/>
          <w:numId w:val="1"/>
        </w:numPr>
        <w:spacing w:line="600" w:lineRule="exact"/>
        <w:ind w:left="1370" w:leftChars="338" w:hanging="660" w:hangingChars="220"/>
        <w:rPr>
          <w:rFonts w:ascii="Times New Roman" w:hAnsi="Times New Roman" w:eastAsia="方正黑体简体"/>
          <w:bCs/>
          <w:sz w:val="30"/>
          <w:szCs w:val="30"/>
        </w:rPr>
      </w:pPr>
      <w:r>
        <w:rPr>
          <w:rFonts w:hint="eastAsia" w:ascii="Times New Roman" w:hAnsi="Times New Roman" w:eastAsia="方正黑体简体"/>
          <w:bCs/>
          <w:sz w:val="30"/>
          <w:szCs w:val="30"/>
        </w:rPr>
        <w:t>业务准备</w:t>
      </w:r>
    </w:p>
    <w:p>
      <w:pPr>
        <w:pStyle w:val="16"/>
        <w:numPr>
          <w:ilvl w:val="0"/>
          <w:numId w:val="2"/>
        </w:numPr>
        <w:spacing w:line="600" w:lineRule="exact"/>
        <w:ind w:left="1372" w:leftChars="338" w:hanging="662" w:hangingChars="220"/>
        <w:rPr>
          <w:rFonts w:ascii="Times New Roman" w:hAnsi="Times New Roman" w:eastAsia="方正楷体简体"/>
          <w:b/>
          <w:bCs/>
          <w:sz w:val="30"/>
          <w:szCs w:val="30"/>
        </w:rPr>
      </w:pPr>
      <w:r>
        <w:rPr>
          <w:rFonts w:hint="eastAsia" w:ascii="Times New Roman" w:hAnsi="Times New Roman" w:eastAsia="方正楷体简体"/>
          <w:b/>
          <w:bCs/>
          <w:sz w:val="30"/>
          <w:szCs w:val="30"/>
        </w:rPr>
        <w:t>期货公司会员业务准备</w:t>
      </w:r>
    </w:p>
    <w:p>
      <w:pPr>
        <w:pStyle w:val="16"/>
        <w:numPr>
          <w:ilvl w:val="0"/>
          <w:numId w:val="3"/>
        </w:numPr>
        <w:spacing w:line="600" w:lineRule="exact"/>
        <w:ind w:left="1104" w:hanging="396" w:firstLineChars="0"/>
        <w:rPr>
          <w:rFonts w:ascii="Times New Roman" w:hAnsi="Times New Roman" w:eastAsia="方正仿宋简体"/>
          <w:b/>
          <w:bCs/>
          <w:sz w:val="30"/>
          <w:szCs w:val="30"/>
        </w:rPr>
      </w:pPr>
      <w:r>
        <w:rPr>
          <w:rFonts w:hint="eastAsia" w:ascii="Times New Roman" w:hAnsi="Times New Roman" w:eastAsia="方正仿宋简体"/>
          <w:b/>
          <w:bCs/>
          <w:sz w:val="30"/>
          <w:szCs w:val="30"/>
        </w:rPr>
        <w:t>在中央结算公司开立专用账户并申请开展业务</w:t>
      </w:r>
    </w:p>
    <w:p>
      <w:pPr>
        <w:widowControl/>
        <w:spacing w:line="600" w:lineRule="exact"/>
        <w:ind w:firstLine="600" w:firstLineChars="200"/>
        <w:rPr>
          <w:rFonts w:ascii="Times New Roman" w:hAnsi="Times New Roman" w:eastAsia="方正仿宋简体"/>
          <w:b/>
          <w:bCs/>
          <w:sz w:val="30"/>
          <w:szCs w:val="30"/>
        </w:rPr>
      </w:pPr>
      <w:r>
        <w:rPr>
          <w:rFonts w:hint="eastAsia" w:ascii="Times New Roman" w:hAnsi="Times New Roman" w:eastAsia="方正仿宋简体" w:cs="Times New Roman"/>
          <w:sz w:val="30"/>
          <w:szCs w:val="30"/>
        </w:rPr>
        <w:t>期货公司会员开展国债作为保证金业务的，应在中央国债登记结算有限责任公司（以下简称中央结算公司）开立债券作为期货保证金业务专用账户，并向中央结算公司申请开通相关业务资格。具体要求和流程按照中央结算公司的有关规定办理。</w:t>
      </w:r>
    </w:p>
    <w:p>
      <w:pPr>
        <w:pStyle w:val="16"/>
        <w:numPr>
          <w:ilvl w:val="0"/>
          <w:numId w:val="3"/>
        </w:numPr>
        <w:spacing w:line="600" w:lineRule="exact"/>
        <w:ind w:left="1104" w:hanging="396" w:firstLineChars="0"/>
        <w:rPr>
          <w:rFonts w:ascii="Times New Roman" w:hAnsi="Times New Roman" w:eastAsia="方正仿宋简体"/>
          <w:b/>
          <w:bCs/>
          <w:sz w:val="30"/>
          <w:szCs w:val="30"/>
        </w:rPr>
      </w:pPr>
      <w:r>
        <w:rPr>
          <w:rFonts w:hint="eastAsia" w:ascii="Times New Roman" w:hAnsi="Times New Roman" w:eastAsia="方正仿宋简体"/>
          <w:b/>
          <w:bCs/>
          <w:sz w:val="30"/>
          <w:szCs w:val="30"/>
        </w:rPr>
        <w:t>向上期所申请开展业务</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期货公司会员开展国债作为保证金业务的，需向上期所申请，并提交加盖公章的下列材料：（</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）《上海期货交易所会员国债作为保证金业务申请表》（附件</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）债券作为期货保证金业务专用账户证明材料；（</w:t>
      </w: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）债券作为期货保证金业务专用账户开户证件复印件；（</w:t>
      </w:r>
      <w:r>
        <w:rPr>
          <w:rFonts w:ascii="Times New Roman" w:hAnsi="Times New Roman" w:eastAsia="方正仿宋简体" w:cs="Times New Roman"/>
          <w:sz w:val="30"/>
          <w:szCs w:val="30"/>
        </w:rPr>
        <w:t>4</w:t>
      </w:r>
      <w:r>
        <w:rPr>
          <w:rFonts w:hint="eastAsia" w:ascii="Times New Roman" w:hAnsi="Times New Roman" w:eastAsia="方正仿宋简体" w:cs="Times New Roman"/>
          <w:sz w:val="30"/>
          <w:szCs w:val="30"/>
        </w:rPr>
        <w:t>）上期所要求的其他材料。</w:t>
      </w:r>
    </w:p>
    <w:p>
      <w:pPr>
        <w:pStyle w:val="16"/>
        <w:numPr>
          <w:ilvl w:val="0"/>
          <w:numId w:val="3"/>
        </w:numPr>
        <w:spacing w:line="600" w:lineRule="exact"/>
        <w:ind w:hanging="354" w:firstLineChars="0"/>
        <w:rPr>
          <w:rFonts w:ascii="Times New Roman" w:hAnsi="Times New Roman" w:eastAsia="方正仿宋简体"/>
          <w:b/>
          <w:bCs/>
          <w:sz w:val="30"/>
          <w:szCs w:val="30"/>
        </w:rPr>
      </w:pPr>
      <w:r>
        <w:rPr>
          <w:rFonts w:hint="eastAsia" w:ascii="Times New Roman" w:hAnsi="Times New Roman" w:eastAsia="方正仿宋简体"/>
          <w:b/>
          <w:bCs/>
          <w:sz w:val="30"/>
          <w:szCs w:val="30"/>
        </w:rPr>
        <w:t>专用账户变更或注销</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期货公司会员发生债券作为期货保证金业务专用账户变更或注销的，应及时告知上期所，并提交《中央结算公司账户变更</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注销告知书》（附件</w:t>
      </w:r>
      <w:r>
        <w:rPr>
          <w:rFonts w:ascii="Times New Roman" w:hAnsi="Times New Roman" w:eastAsia="方正仿宋简体" w:cs="Times New Roman"/>
          <w:sz w:val="30"/>
          <w:szCs w:val="30"/>
        </w:rPr>
        <w:t>4</w:t>
      </w:r>
      <w:r>
        <w:rPr>
          <w:rFonts w:hint="eastAsia" w:ascii="Times New Roman" w:hAnsi="Times New Roman" w:eastAsia="方正仿宋简体" w:cs="Times New Roman"/>
          <w:sz w:val="30"/>
          <w:szCs w:val="30"/>
        </w:rPr>
        <w:t>）及上期所要求的其他书面材料。</w:t>
      </w:r>
    </w:p>
    <w:p>
      <w:pPr>
        <w:pStyle w:val="16"/>
        <w:numPr>
          <w:ilvl w:val="0"/>
          <w:numId w:val="2"/>
        </w:numPr>
        <w:spacing w:line="600" w:lineRule="exact"/>
        <w:ind w:left="1372" w:leftChars="338" w:hanging="662" w:hangingChars="220"/>
        <w:rPr>
          <w:rFonts w:ascii="Times New Roman" w:hAnsi="Times New Roman" w:eastAsia="方正楷体简体"/>
          <w:b/>
          <w:bCs/>
          <w:sz w:val="30"/>
          <w:szCs w:val="30"/>
        </w:rPr>
      </w:pPr>
      <w:r>
        <w:rPr>
          <w:rFonts w:hint="eastAsia" w:ascii="Times New Roman" w:hAnsi="Times New Roman" w:eastAsia="方正楷体简体"/>
          <w:b/>
          <w:bCs/>
          <w:sz w:val="30"/>
          <w:szCs w:val="30"/>
        </w:rPr>
        <w:t>非期货公司会员业务准备</w:t>
      </w:r>
    </w:p>
    <w:p>
      <w:pPr>
        <w:pStyle w:val="16"/>
        <w:numPr>
          <w:ilvl w:val="0"/>
          <w:numId w:val="4"/>
        </w:numPr>
        <w:spacing w:line="600" w:lineRule="exact"/>
        <w:ind w:firstLineChars="0"/>
        <w:rPr>
          <w:rFonts w:ascii="Times New Roman" w:hAnsi="Times New Roman" w:eastAsia="方正仿宋简体"/>
          <w:b/>
          <w:bCs/>
          <w:sz w:val="30"/>
          <w:szCs w:val="30"/>
        </w:rPr>
      </w:pPr>
      <w:r>
        <w:rPr>
          <w:rFonts w:hint="eastAsia" w:ascii="Times New Roman" w:hAnsi="Times New Roman" w:eastAsia="方正仿宋简体"/>
          <w:b/>
          <w:bCs/>
          <w:sz w:val="30"/>
          <w:szCs w:val="30"/>
        </w:rPr>
        <w:t>在中央结算公司开立债券账户并申请开展业务</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非期货公司会员参与国债作为期货保证金业务的，应在中央结算公司开立债券账户</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并向中央结算公司申请开通相关业务资格。具体要求和流程按照中央结算公司的有关规定办理。</w:t>
      </w:r>
      <w:r>
        <w:rPr>
          <w:rFonts w:ascii="Times New Roman" w:hAnsi="Times New Roman" w:eastAsia="方正仿宋简体" w:cs="Times New Roman"/>
          <w:sz w:val="30"/>
          <w:szCs w:val="30"/>
        </w:rPr>
        <w:t xml:space="preserve"> </w:t>
      </w:r>
    </w:p>
    <w:p>
      <w:pPr>
        <w:pStyle w:val="16"/>
        <w:numPr>
          <w:ilvl w:val="0"/>
          <w:numId w:val="4"/>
        </w:numPr>
        <w:spacing w:line="600" w:lineRule="exact"/>
        <w:ind w:firstLineChars="0"/>
        <w:rPr>
          <w:rFonts w:ascii="Times New Roman" w:hAnsi="Times New Roman" w:eastAsia="方正仿宋简体"/>
          <w:b/>
          <w:bCs/>
          <w:sz w:val="30"/>
          <w:szCs w:val="30"/>
        </w:rPr>
      </w:pPr>
      <w:r>
        <w:rPr>
          <w:rFonts w:hint="eastAsia" w:ascii="Times New Roman" w:hAnsi="Times New Roman" w:eastAsia="方正仿宋简体"/>
          <w:b/>
          <w:bCs/>
          <w:sz w:val="30"/>
          <w:szCs w:val="30"/>
        </w:rPr>
        <w:t>向上期所申请开展业务</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非期货公司会员参与国债作为保证金业务的，需向上期所申请，并提交加盖公章的以下材料：（</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）《上海期货交易所会员国债作为保证金业务申请表》（附件</w:t>
      </w: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）债券账户证明材料；（</w:t>
      </w: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）债券账户开户证件复印件；（</w:t>
      </w:r>
      <w:r>
        <w:rPr>
          <w:rFonts w:ascii="Times New Roman" w:hAnsi="Times New Roman" w:eastAsia="方正仿宋简体" w:cs="Times New Roman"/>
          <w:sz w:val="30"/>
          <w:szCs w:val="30"/>
        </w:rPr>
        <w:t>4</w:t>
      </w:r>
      <w:r>
        <w:rPr>
          <w:rFonts w:hint="eastAsia" w:ascii="Times New Roman" w:hAnsi="Times New Roman" w:eastAsia="方正仿宋简体" w:cs="Times New Roman"/>
          <w:sz w:val="30"/>
          <w:szCs w:val="30"/>
        </w:rPr>
        <w:t>）上期所要求的其他材料。</w:t>
      </w:r>
    </w:p>
    <w:p>
      <w:pPr>
        <w:pStyle w:val="16"/>
        <w:numPr>
          <w:ilvl w:val="0"/>
          <w:numId w:val="4"/>
        </w:numPr>
        <w:spacing w:line="600" w:lineRule="exact"/>
        <w:ind w:firstLineChars="0"/>
        <w:rPr>
          <w:rFonts w:ascii="Times New Roman" w:hAnsi="Times New Roman" w:eastAsia="方正仿宋简体"/>
          <w:b/>
          <w:bCs/>
          <w:sz w:val="30"/>
          <w:szCs w:val="30"/>
        </w:rPr>
      </w:pPr>
      <w:r>
        <w:rPr>
          <w:rFonts w:hint="eastAsia" w:ascii="Times New Roman" w:hAnsi="Times New Roman" w:eastAsia="方正仿宋简体"/>
          <w:b/>
          <w:bCs/>
          <w:sz w:val="30"/>
          <w:szCs w:val="30"/>
        </w:rPr>
        <w:t>债券账户变更或注销</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非期货公司会员发生债券账户变更或注销的，应及时告知上期所，并提交《中央结算公司账户变更</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注销告知书》（附件</w:t>
      </w:r>
      <w:r>
        <w:rPr>
          <w:rFonts w:ascii="Times New Roman" w:hAnsi="Times New Roman" w:eastAsia="方正仿宋简体" w:cs="Times New Roman"/>
          <w:sz w:val="30"/>
          <w:szCs w:val="30"/>
        </w:rPr>
        <w:t>4</w:t>
      </w:r>
      <w:r>
        <w:rPr>
          <w:rFonts w:hint="eastAsia" w:ascii="Times New Roman" w:hAnsi="Times New Roman" w:eastAsia="方正仿宋简体" w:cs="Times New Roman"/>
          <w:sz w:val="30"/>
          <w:szCs w:val="30"/>
        </w:rPr>
        <w:t>）及上期所要求的其他书面材料。</w:t>
      </w:r>
    </w:p>
    <w:p>
      <w:pPr>
        <w:pStyle w:val="16"/>
        <w:numPr>
          <w:ilvl w:val="0"/>
          <w:numId w:val="2"/>
        </w:numPr>
        <w:spacing w:line="600" w:lineRule="exact"/>
        <w:ind w:left="1372" w:leftChars="338" w:hanging="662" w:hangingChars="220"/>
        <w:rPr>
          <w:rFonts w:ascii="Times New Roman" w:hAnsi="Times New Roman" w:eastAsia="方正楷体简体"/>
          <w:b/>
          <w:bCs/>
          <w:sz w:val="30"/>
          <w:szCs w:val="30"/>
        </w:rPr>
      </w:pPr>
      <w:r>
        <w:rPr>
          <w:rFonts w:hint="eastAsia" w:ascii="Times New Roman" w:hAnsi="Times New Roman" w:eastAsia="方正楷体简体"/>
          <w:b/>
          <w:bCs/>
          <w:sz w:val="30"/>
          <w:szCs w:val="30"/>
        </w:rPr>
        <w:t>客户业务准备</w:t>
      </w:r>
    </w:p>
    <w:p>
      <w:pPr>
        <w:pStyle w:val="16"/>
        <w:numPr>
          <w:ilvl w:val="0"/>
          <w:numId w:val="5"/>
        </w:numPr>
        <w:spacing w:line="600" w:lineRule="exact"/>
        <w:ind w:firstLineChars="0"/>
        <w:rPr>
          <w:rFonts w:ascii="Times New Roman" w:hAnsi="Times New Roman" w:eastAsia="方正仿宋简体"/>
          <w:b/>
          <w:sz w:val="30"/>
          <w:szCs w:val="30"/>
        </w:rPr>
      </w:pPr>
      <w:r>
        <w:rPr>
          <w:rFonts w:hint="eastAsia" w:ascii="Times New Roman" w:hAnsi="Times New Roman" w:eastAsia="方正仿宋简体"/>
          <w:b/>
          <w:sz w:val="30"/>
          <w:szCs w:val="30"/>
        </w:rPr>
        <w:t>在中央结算公司开立债券账户并申请开展业务</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客户参与国债作为保证金业务的，应在中央结算公司开立债券账户，并向中央结算公司申请开通业务资格，具体要求和流程按照中央结算公司的有关规定办理。</w:t>
      </w:r>
    </w:p>
    <w:p>
      <w:pPr>
        <w:pStyle w:val="16"/>
        <w:numPr>
          <w:ilvl w:val="0"/>
          <w:numId w:val="5"/>
        </w:numPr>
        <w:spacing w:line="600" w:lineRule="exact"/>
        <w:ind w:firstLineChars="0"/>
        <w:rPr>
          <w:rFonts w:ascii="Times New Roman" w:hAnsi="Times New Roman" w:eastAsia="方正仿宋简体"/>
          <w:b/>
          <w:sz w:val="30"/>
          <w:szCs w:val="30"/>
        </w:rPr>
      </w:pPr>
      <w:r>
        <w:rPr>
          <w:rFonts w:hint="eastAsia" w:ascii="Times New Roman" w:hAnsi="Times New Roman" w:eastAsia="方正仿宋简体"/>
          <w:b/>
          <w:sz w:val="30"/>
          <w:szCs w:val="30"/>
        </w:rPr>
        <w:t>向上期所申请开展业务</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客户参与国债作为保证金业务的，需通过会员向上期所申请，并提交加盖公章的以下材料：（</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）《上海期货交易所客户国债作为保证金业务申请表》（附件</w:t>
      </w: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）债券账户证明材料；（</w:t>
      </w: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）债券账户开户证件复印件；（</w:t>
      </w:r>
      <w:r>
        <w:rPr>
          <w:rFonts w:ascii="Times New Roman" w:hAnsi="Times New Roman" w:eastAsia="方正仿宋简体" w:cs="Times New Roman"/>
          <w:sz w:val="30"/>
          <w:szCs w:val="30"/>
        </w:rPr>
        <w:t>4</w:t>
      </w:r>
      <w:r>
        <w:rPr>
          <w:rFonts w:hint="eastAsia" w:ascii="Times New Roman" w:hAnsi="Times New Roman" w:eastAsia="方正仿宋简体" w:cs="Times New Roman"/>
          <w:sz w:val="30"/>
          <w:szCs w:val="30"/>
        </w:rPr>
        <w:t>）上期所要求的其他材料。上期所可以根据客户实际情况对申请材料要求进行调整。</w:t>
      </w:r>
    </w:p>
    <w:p>
      <w:pPr>
        <w:pStyle w:val="16"/>
        <w:numPr>
          <w:ilvl w:val="0"/>
          <w:numId w:val="5"/>
        </w:numPr>
        <w:spacing w:line="600" w:lineRule="exact"/>
        <w:ind w:firstLineChars="0"/>
        <w:rPr>
          <w:rFonts w:ascii="Times New Roman" w:hAnsi="Times New Roman" w:eastAsia="方正仿宋简体"/>
          <w:b/>
          <w:sz w:val="30"/>
          <w:szCs w:val="30"/>
        </w:rPr>
      </w:pPr>
      <w:r>
        <w:rPr>
          <w:rFonts w:hint="eastAsia" w:ascii="Times New Roman" w:hAnsi="Times New Roman" w:eastAsia="方正仿宋简体"/>
          <w:b/>
          <w:sz w:val="30"/>
          <w:szCs w:val="30"/>
        </w:rPr>
        <w:t>债券账户变更或注销</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客户发生债券账户变更或注销的，其期货公司会员应及时告知上期所，并提交《中央结算公司账户变更</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注销告知书》（附件</w:t>
      </w:r>
      <w:r>
        <w:rPr>
          <w:rFonts w:ascii="Times New Roman" w:hAnsi="Times New Roman" w:eastAsia="方正仿宋简体" w:cs="Times New Roman"/>
          <w:sz w:val="30"/>
          <w:szCs w:val="30"/>
        </w:rPr>
        <w:t>4</w:t>
      </w:r>
      <w:r>
        <w:rPr>
          <w:rFonts w:hint="eastAsia" w:ascii="Times New Roman" w:hAnsi="Times New Roman" w:eastAsia="方正仿宋简体" w:cs="Times New Roman"/>
          <w:sz w:val="30"/>
          <w:szCs w:val="30"/>
        </w:rPr>
        <w:t>）及上期所要求的其他书面材料。</w:t>
      </w:r>
    </w:p>
    <w:p>
      <w:pPr>
        <w:pStyle w:val="16"/>
        <w:numPr>
          <w:ilvl w:val="0"/>
          <w:numId w:val="2"/>
        </w:numPr>
        <w:spacing w:line="600" w:lineRule="exact"/>
        <w:ind w:left="1372" w:leftChars="338" w:hanging="662" w:hangingChars="220"/>
        <w:rPr>
          <w:rFonts w:ascii="Times New Roman" w:hAnsi="Times New Roman" w:eastAsia="方正楷体简体"/>
          <w:b/>
          <w:bCs/>
          <w:sz w:val="30"/>
          <w:szCs w:val="30"/>
        </w:rPr>
      </w:pPr>
      <w:r>
        <w:rPr>
          <w:rFonts w:hint="eastAsia" w:ascii="Times New Roman" w:hAnsi="Times New Roman" w:eastAsia="方正楷体简体"/>
          <w:b/>
          <w:bCs/>
          <w:sz w:val="30"/>
          <w:szCs w:val="30"/>
        </w:rPr>
        <w:t>境外特殊参与者、境外中介机构业务准备</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境外特殊参与者、境外中介机构参与国债作为保证金业务的，应在中央结算公司开立债券账户或专用账户，并向中央结算公司申请开通业务资格。具体要求和流程按照中央结算公司的有关规定办理。境外特殊经纪参与者、境外中介机构参照期货公司会员业务准备要求；境外特殊非经纪参与者参照客户业务准备要求。</w:t>
      </w:r>
      <w:r>
        <w:rPr>
          <w:rFonts w:ascii="Times New Roman" w:hAnsi="Times New Roman" w:eastAsia="方正仿宋简体" w:cs="Times New Roman"/>
          <w:sz w:val="30"/>
          <w:szCs w:val="30"/>
        </w:rPr>
        <w:tab/>
      </w:r>
    </w:p>
    <w:p>
      <w:pPr>
        <w:pStyle w:val="16"/>
        <w:numPr>
          <w:ilvl w:val="0"/>
          <w:numId w:val="1"/>
        </w:numPr>
        <w:spacing w:line="600" w:lineRule="exact"/>
        <w:ind w:left="1370" w:leftChars="338" w:hanging="660" w:hangingChars="220"/>
        <w:rPr>
          <w:rFonts w:ascii="Times New Roman" w:hAnsi="Times New Roman" w:eastAsia="方正黑体简体"/>
          <w:bCs/>
          <w:sz w:val="30"/>
          <w:szCs w:val="30"/>
        </w:rPr>
      </w:pPr>
      <w:r>
        <w:rPr>
          <w:rFonts w:hint="eastAsia" w:ascii="Times New Roman" w:hAnsi="Times New Roman" w:eastAsia="方正黑体简体"/>
          <w:bCs/>
          <w:sz w:val="30"/>
          <w:szCs w:val="30"/>
        </w:rPr>
        <w:t>国债交存和提取</w:t>
      </w:r>
    </w:p>
    <w:p>
      <w:pPr>
        <w:pStyle w:val="16"/>
        <w:numPr>
          <w:ilvl w:val="0"/>
          <w:numId w:val="6"/>
        </w:numPr>
        <w:spacing w:line="600" w:lineRule="exact"/>
        <w:ind w:firstLineChars="0"/>
        <w:rPr>
          <w:rFonts w:ascii="Times New Roman" w:hAnsi="Times New Roman" w:eastAsia="方正楷体简体"/>
          <w:b/>
          <w:bCs/>
          <w:sz w:val="30"/>
          <w:szCs w:val="30"/>
        </w:rPr>
      </w:pPr>
      <w:r>
        <w:rPr>
          <w:rFonts w:hint="eastAsia" w:ascii="Times New Roman" w:hAnsi="Times New Roman" w:eastAsia="方正楷体简体"/>
          <w:b/>
          <w:bCs/>
          <w:sz w:val="30"/>
          <w:szCs w:val="30"/>
        </w:rPr>
        <w:t>交存和提取申请</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客户、境外中介机构、境外特殊参与者交存和提取作为保证金的国债的，应通过期货公司会员向上期所提交申请。</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会员通过会员服务系统向上期所提交国债交存和提取的申请。会员应当在每个交易日</w:t>
      </w:r>
      <w:r>
        <w:rPr>
          <w:rFonts w:ascii="Times New Roman" w:hAnsi="Times New Roman" w:eastAsia="方正仿宋简体" w:cs="Times New Roman"/>
          <w:sz w:val="30"/>
          <w:szCs w:val="30"/>
        </w:rPr>
        <w:t>14:30</w:t>
      </w:r>
      <w:r>
        <w:rPr>
          <w:rFonts w:hint="eastAsia" w:ascii="Times New Roman" w:hAnsi="Times New Roman" w:eastAsia="方正仿宋简体" w:cs="Times New Roman"/>
          <w:sz w:val="30"/>
          <w:szCs w:val="30"/>
        </w:rPr>
        <w:t>前向上期所提出国债交存或提取申请。</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连续交易时间，上期所不受理国债作为保证金相关业务申请、不办理相关业务。</w:t>
      </w:r>
    </w:p>
    <w:p>
      <w:pPr>
        <w:pStyle w:val="16"/>
        <w:numPr>
          <w:ilvl w:val="0"/>
          <w:numId w:val="6"/>
        </w:numPr>
        <w:spacing w:line="600" w:lineRule="exact"/>
        <w:ind w:firstLineChars="0"/>
        <w:rPr>
          <w:rFonts w:ascii="Times New Roman" w:hAnsi="Times New Roman" w:eastAsia="方正楷体简体"/>
          <w:b/>
          <w:bCs/>
          <w:sz w:val="30"/>
          <w:szCs w:val="30"/>
        </w:rPr>
      </w:pPr>
      <w:r>
        <w:rPr>
          <w:rFonts w:hint="eastAsia" w:ascii="Times New Roman" w:hAnsi="Times New Roman" w:eastAsia="方正楷体简体"/>
          <w:b/>
          <w:bCs/>
          <w:sz w:val="30"/>
          <w:szCs w:val="30"/>
        </w:rPr>
        <w:t>交存办理</w:t>
      </w:r>
    </w:p>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上期所按照会员的申请，委托中央结算公司进行国债质押登记。期货公司会员在中央结算公司中债综合业务平台提交的质押指令中应包含会员号及客户号、境外中介机构号、境外特殊参与者号等信息；非期货公司会员在中央结算公司中债综合业务平台提交的质押指令中应包含非期货公司会员交易编码等信息。</w:t>
      </w:r>
    </w:p>
    <w:p>
      <w:pPr>
        <w:pStyle w:val="16"/>
        <w:numPr>
          <w:ilvl w:val="0"/>
          <w:numId w:val="6"/>
        </w:numPr>
        <w:spacing w:line="600" w:lineRule="exact"/>
        <w:ind w:firstLineChars="0"/>
        <w:rPr>
          <w:rFonts w:ascii="Times New Roman" w:hAnsi="Times New Roman" w:eastAsia="方正楷体简体"/>
          <w:b/>
          <w:bCs/>
          <w:sz w:val="30"/>
          <w:szCs w:val="30"/>
        </w:rPr>
      </w:pPr>
      <w:bookmarkStart w:id="1" w:name="_GoBack"/>
      <w:r>
        <w:rPr>
          <w:rFonts w:hint="eastAsia" w:ascii="Times New Roman" w:hAnsi="Times New Roman" w:eastAsia="方正楷体简体"/>
          <w:b/>
          <w:bCs/>
          <w:sz w:val="30"/>
          <w:szCs w:val="30"/>
        </w:rPr>
        <w:t>提取办理</w:t>
      </w:r>
    </w:p>
    <w:bookmarkEnd w:id="1"/>
    <w:p>
      <w:pPr>
        <w:spacing w:line="60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会员办理国债提取的，应当弥补相应的保证金。上期所于当日结算时对会员的提取申请进行审核，审核通过后委托中央结算公司进行国债解押登记，会员需通过中央结算公司中债综合业务平台对相应的解押指令进行确认。若会员未能在当日确认国债解押指令，应在下一个交易日中午</w:t>
      </w:r>
      <w:r>
        <w:rPr>
          <w:rFonts w:ascii="Times New Roman" w:hAnsi="Times New Roman" w:eastAsia="方正仿宋简体" w:cs="Times New Roman"/>
          <w:sz w:val="30"/>
          <w:szCs w:val="30"/>
        </w:rPr>
        <w:t>12:00</w:t>
      </w:r>
      <w:r>
        <w:rPr>
          <w:rFonts w:hint="eastAsia" w:ascii="Times New Roman" w:hAnsi="Times New Roman" w:eastAsia="方正仿宋简体" w:cs="Times New Roman"/>
          <w:sz w:val="30"/>
          <w:szCs w:val="30"/>
        </w:rPr>
        <w:t>之前向上期所提交书面说明，上期所再次在中央结算公司中债综合业务平台发起国债解押指令。</w:t>
      </w:r>
    </w:p>
    <w:p>
      <w:pPr>
        <w:pStyle w:val="16"/>
        <w:numPr>
          <w:ilvl w:val="0"/>
          <w:numId w:val="1"/>
        </w:numPr>
        <w:spacing w:line="600" w:lineRule="exact"/>
        <w:ind w:left="1370" w:leftChars="338" w:hanging="660" w:hangingChars="220"/>
        <w:rPr>
          <w:rFonts w:ascii="Times New Roman" w:hAnsi="Times New Roman" w:eastAsia="方正黑体简体"/>
          <w:bCs/>
          <w:sz w:val="30"/>
          <w:szCs w:val="30"/>
        </w:rPr>
      </w:pPr>
      <w:r>
        <w:rPr>
          <w:rFonts w:hint="eastAsia" w:ascii="Times New Roman" w:hAnsi="Times New Roman" w:eastAsia="方正黑体简体"/>
          <w:bCs/>
          <w:sz w:val="30"/>
          <w:szCs w:val="30"/>
        </w:rPr>
        <w:t>到期处理</w:t>
      </w:r>
    </w:p>
    <w:p>
      <w:pPr>
        <w:spacing w:line="600" w:lineRule="exact"/>
        <w:ind w:firstLine="663" w:firstLineChars="221"/>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国债到期日前一个月的第一个交易日结算时起，上期所不再将该笔国债计入实际可用金额，并不再接受该国债交存。国债到期日前一个月的第一个交易日结算后，会员不主动提取该笔国债的，上期所可以通过中央结算公司中债综合业务平台向会员发起国债解押指令，会员应在当日中债综合业务平台关闭前确认国债解押指令。若会员未能在当日确认国债解押指令，需在第二个交易日中午</w:t>
      </w:r>
      <w:r>
        <w:rPr>
          <w:rFonts w:ascii="Times New Roman" w:hAnsi="Times New Roman" w:eastAsia="方正仿宋简体" w:cs="Times New Roman"/>
          <w:sz w:val="30"/>
          <w:szCs w:val="30"/>
        </w:rPr>
        <w:t>12:00</w:t>
      </w:r>
      <w:r>
        <w:rPr>
          <w:rFonts w:hint="eastAsia" w:ascii="Times New Roman" w:hAnsi="Times New Roman" w:eastAsia="方正仿宋简体" w:cs="Times New Roman"/>
          <w:sz w:val="30"/>
          <w:szCs w:val="30"/>
        </w:rPr>
        <w:t>之前向上期所提交书面说明，上期所再次在中央结算公司中债综合业务平台发起国债提取指令。</w:t>
      </w:r>
    </w:p>
    <w:p>
      <w:pPr>
        <w:pStyle w:val="16"/>
        <w:numPr>
          <w:ilvl w:val="0"/>
          <w:numId w:val="1"/>
        </w:numPr>
        <w:spacing w:line="600" w:lineRule="exact"/>
        <w:ind w:left="1370" w:leftChars="338" w:hanging="660" w:hangingChars="220"/>
        <w:rPr>
          <w:rFonts w:ascii="Times New Roman" w:hAnsi="Times New Roman" w:eastAsia="方正黑体简体"/>
          <w:bCs/>
          <w:sz w:val="30"/>
          <w:szCs w:val="30"/>
        </w:rPr>
      </w:pPr>
      <w:r>
        <w:rPr>
          <w:rFonts w:hint="eastAsia" w:ascii="Times New Roman" w:hAnsi="Times New Roman" w:eastAsia="方正黑体简体"/>
          <w:bCs/>
          <w:sz w:val="30"/>
          <w:szCs w:val="30"/>
        </w:rPr>
        <w:t>应急处理</w:t>
      </w:r>
    </w:p>
    <w:p>
      <w:pPr>
        <w:spacing w:line="600" w:lineRule="exact"/>
        <w:ind w:firstLine="663" w:firstLineChars="221"/>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若期货公司会员、非期货公司会员无法通过会员服务系统完成国债交存和提取等操作，应填写并提交《上海期货交易所国债交存</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提取应急申请表》（附件</w:t>
      </w:r>
      <w:r>
        <w:rPr>
          <w:rFonts w:ascii="Times New Roman" w:hAnsi="Times New Roman" w:eastAsia="方正仿宋简体" w:cs="Times New Roman"/>
          <w:sz w:val="30"/>
          <w:szCs w:val="30"/>
        </w:rPr>
        <w:t>5</w:t>
      </w:r>
      <w:r>
        <w:rPr>
          <w:rFonts w:hint="eastAsia" w:ascii="Times New Roman" w:hAnsi="Times New Roman" w:eastAsia="方正仿宋简体" w:cs="Times New Roman"/>
          <w:sz w:val="30"/>
          <w:szCs w:val="30"/>
        </w:rPr>
        <w:t>）。</w:t>
      </w:r>
    </w:p>
    <w:p>
      <w:pPr>
        <w:pStyle w:val="16"/>
        <w:numPr>
          <w:ilvl w:val="0"/>
          <w:numId w:val="1"/>
        </w:numPr>
        <w:spacing w:line="600" w:lineRule="exact"/>
        <w:ind w:left="1370" w:leftChars="338" w:hanging="660" w:hangingChars="220"/>
        <w:rPr>
          <w:rFonts w:ascii="Times New Roman" w:hAnsi="Times New Roman" w:eastAsia="方正黑体简体"/>
          <w:bCs/>
          <w:sz w:val="30"/>
          <w:szCs w:val="30"/>
        </w:rPr>
      </w:pPr>
      <w:r>
        <w:rPr>
          <w:rFonts w:hint="eastAsia" w:ascii="Times New Roman" w:hAnsi="Times New Roman" w:eastAsia="方正黑体简体"/>
          <w:bCs/>
          <w:sz w:val="30"/>
          <w:szCs w:val="30"/>
        </w:rPr>
        <w:t>业务手续费</w:t>
      </w:r>
    </w:p>
    <w:p>
      <w:pPr>
        <w:spacing w:line="600" w:lineRule="exact"/>
        <w:ind w:firstLine="663" w:firstLineChars="221"/>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国债作为保证金的手续费率为年化</w:t>
      </w:r>
      <w:r>
        <w:rPr>
          <w:rFonts w:ascii="Times New Roman" w:hAnsi="Times New Roman" w:eastAsia="方正仿宋简体" w:cs="Times New Roman"/>
          <w:sz w:val="30"/>
          <w:szCs w:val="30"/>
        </w:rPr>
        <w:t>0.05%</w:t>
      </w:r>
      <w:r>
        <w:rPr>
          <w:rFonts w:hint="eastAsia" w:ascii="Times New Roman" w:hAnsi="Times New Roman" w:eastAsia="方正仿宋简体" w:cs="Times New Roman"/>
          <w:sz w:val="30"/>
          <w:szCs w:val="30"/>
        </w:rPr>
        <w:t>，手续费以每日结算后国债折后金额为基数计费，按月收取。</w:t>
      </w:r>
    </w:p>
    <w:p>
      <w:pPr>
        <w:spacing w:line="600" w:lineRule="exact"/>
        <w:ind w:firstLine="663" w:firstLineChars="221"/>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上期所可以根据市场运行情况对手续费标准进行调整。</w:t>
      </w:r>
    </w:p>
    <w:p>
      <w:pPr>
        <w:ind w:firstLine="602" w:firstLineChars="200"/>
        <w:rPr>
          <w:rFonts w:ascii="Times New Roman" w:hAnsi="Times New Roman" w:eastAsia="方正仿宋简体" w:cs="Times New Roman"/>
          <w:b/>
          <w:sz w:val="30"/>
          <w:szCs w:val="30"/>
        </w:rPr>
      </w:pPr>
    </w:p>
    <w:p>
      <w:pPr>
        <w:ind w:firstLine="602" w:firstLineChars="200"/>
        <w:rPr>
          <w:rFonts w:ascii="Times New Roman" w:hAnsi="Times New Roman" w:eastAsia="方正仿宋简体" w:cs="Times New Roman"/>
          <w:b/>
          <w:sz w:val="30"/>
          <w:szCs w:val="30"/>
        </w:rPr>
      </w:pPr>
    </w:p>
    <w:p>
      <w:pPr>
        <w:ind w:firstLine="602" w:firstLineChars="200"/>
        <w:rPr>
          <w:rFonts w:ascii="Times New Roman" w:hAnsi="Times New Roman" w:eastAsia="方正仿宋简体" w:cs="Times New Roman"/>
          <w:b/>
          <w:sz w:val="30"/>
          <w:szCs w:val="30"/>
        </w:rPr>
      </w:pPr>
    </w:p>
    <w:p>
      <w:pPr>
        <w:ind w:firstLine="602" w:firstLineChars="200"/>
        <w:rPr>
          <w:rFonts w:ascii="Times New Roman" w:hAnsi="Times New Roman" w:eastAsia="方正仿宋简体" w:cs="Times New Roman"/>
          <w:b/>
          <w:sz w:val="30"/>
          <w:szCs w:val="30"/>
        </w:rPr>
      </w:pPr>
    </w:p>
    <w:p>
      <w:pPr>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    </w:t>
      </w:r>
      <w:r>
        <w:rPr>
          <w:rFonts w:hint="eastAsia" w:ascii="Times New Roman" w:hAnsi="Times New Roman" w:eastAsia="方正仿宋简体" w:cs="Times New Roman"/>
          <w:sz w:val="30"/>
          <w:szCs w:val="30"/>
        </w:rPr>
        <w:t>附件：</w:t>
      </w:r>
    </w:p>
    <w:p>
      <w:pPr>
        <w:pStyle w:val="16"/>
        <w:numPr>
          <w:ilvl w:val="0"/>
          <w:numId w:val="7"/>
        </w:numPr>
        <w:ind w:firstLineChars="0"/>
        <w:rPr>
          <w:rFonts w:ascii="Times New Roman" w:hAnsi="Times New Roman" w:eastAsia="方正仿宋简体"/>
          <w:sz w:val="30"/>
          <w:szCs w:val="30"/>
        </w:rPr>
      </w:pPr>
      <w:r>
        <w:rPr>
          <w:rFonts w:hint="eastAsia" w:ascii="Times New Roman" w:hAnsi="Times New Roman" w:eastAsia="方正仿宋简体"/>
          <w:sz w:val="30"/>
          <w:szCs w:val="30"/>
        </w:rPr>
        <w:t>上海期货交易所会员国债作为保证金业务申请表（期货公司会员专用）</w:t>
      </w:r>
    </w:p>
    <w:p>
      <w:pPr>
        <w:pStyle w:val="16"/>
        <w:numPr>
          <w:ilvl w:val="0"/>
          <w:numId w:val="7"/>
        </w:numPr>
        <w:ind w:firstLineChars="0"/>
        <w:rPr>
          <w:rFonts w:ascii="Times New Roman" w:hAnsi="Times New Roman" w:eastAsia="方正仿宋简体"/>
          <w:sz w:val="30"/>
          <w:szCs w:val="30"/>
        </w:rPr>
      </w:pPr>
      <w:r>
        <w:rPr>
          <w:rFonts w:hint="eastAsia" w:ascii="Times New Roman" w:hAnsi="Times New Roman" w:eastAsia="方正仿宋简体"/>
          <w:sz w:val="30"/>
          <w:szCs w:val="30"/>
        </w:rPr>
        <w:t>上海期货交易所会员国债作为保证金业务申请表</w:t>
      </w:r>
      <w:r>
        <w:rPr>
          <w:rFonts w:ascii="Times New Roman" w:hAnsi="Times New Roman" w:eastAsia="方正仿宋简体"/>
          <w:sz w:val="30"/>
          <w:szCs w:val="30"/>
        </w:rPr>
        <w:t>(</w:t>
      </w:r>
      <w:r>
        <w:rPr>
          <w:rFonts w:hint="eastAsia" w:ascii="Times New Roman" w:hAnsi="Times New Roman" w:eastAsia="方正仿宋简体"/>
          <w:sz w:val="30"/>
          <w:szCs w:val="30"/>
        </w:rPr>
        <w:t>非期货公司会员专用</w:t>
      </w:r>
      <w:r>
        <w:rPr>
          <w:rFonts w:ascii="Times New Roman" w:hAnsi="Times New Roman" w:eastAsia="方正仿宋简体"/>
          <w:sz w:val="30"/>
          <w:szCs w:val="30"/>
        </w:rPr>
        <w:t>)</w:t>
      </w:r>
    </w:p>
    <w:p>
      <w:pPr>
        <w:pStyle w:val="16"/>
        <w:numPr>
          <w:ilvl w:val="0"/>
          <w:numId w:val="7"/>
        </w:numPr>
        <w:ind w:firstLineChars="0"/>
        <w:rPr>
          <w:rFonts w:ascii="Times New Roman" w:hAnsi="Times New Roman" w:eastAsia="方正仿宋简体"/>
          <w:sz w:val="30"/>
          <w:szCs w:val="30"/>
        </w:rPr>
      </w:pPr>
      <w:r>
        <w:rPr>
          <w:rFonts w:hint="eastAsia" w:ascii="Times New Roman" w:hAnsi="Times New Roman" w:eastAsia="方正仿宋简体"/>
          <w:sz w:val="30"/>
          <w:szCs w:val="30"/>
        </w:rPr>
        <w:t>上海期货交易所客户国债作为保证金业务申请表</w:t>
      </w:r>
    </w:p>
    <w:p>
      <w:pPr>
        <w:pStyle w:val="16"/>
        <w:numPr>
          <w:ilvl w:val="0"/>
          <w:numId w:val="7"/>
        </w:numPr>
        <w:ind w:firstLineChars="0"/>
        <w:rPr>
          <w:rFonts w:ascii="Times New Roman" w:hAnsi="Times New Roman" w:eastAsia="方正仿宋简体"/>
          <w:sz w:val="30"/>
          <w:szCs w:val="30"/>
        </w:rPr>
      </w:pPr>
      <w:r>
        <w:rPr>
          <w:rFonts w:hint="eastAsia" w:ascii="Times New Roman" w:hAnsi="Times New Roman" w:eastAsia="方正仿宋简体"/>
          <w:sz w:val="30"/>
          <w:szCs w:val="30"/>
        </w:rPr>
        <w:t>中央结算公司账户变更</w:t>
      </w:r>
      <w:r>
        <w:rPr>
          <w:rFonts w:ascii="Times New Roman" w:hAnsi="Times New Roman" w:eastAsia="方正仿宋简体"/>
          <w:sz w:val="30"/>
          <w:szCs w:val="30"/>
        </w:rPr>
        <w:t>/</w:t>
      </w:r>
      <w:r>
        <w:rPr>
          <w:rFonts w:hint="eastAsia" w:ascii="Times New Roman" w:hAnsi="Times New Roman" w:eastAsia="方正仿宋简体"/>
          <w:sz w:val="30"/>
          <w:szCs w:val="30"/>
        </w:rPr>
        <w:t>注销告知书</w:t>
      </w:r>
    </w:p>
    <w:p>
      <w:pPr>
        <w:pStyle w:val="16"/>
        <w:numPr>
          <w:ilvl w:val="0"/>
          <w:numId w:val="7"/>
        </w:numPr>
        <w:ind w:firstLineChars="0"/>
        <w:rPr>
          <w:rFonts w:ascii="Times New Roman" w:hAnsi="Times New Roman" w:eastAsia="方正仿宋简体"/>
          <w:sz w:val="30"/>
          <w:szCs w:val="30"/>
        </w:rPr>
      </w:pPr>
      <w:r>
        <w:rPr>
          <w:rFonts w:hint="eastAsia" w:ascii="Times New Roman" w:hAnsi="Times New Roman" w:eastAsia="方正仿宋简体"/>
          <w:sz w:val="30"/>
          <w:szCs w:val="30"/>
        </w:rPr>
        <w:t>上海期货交易所国债交存</w:t>
      </w:r>
      <w:r>
        <w:rPr>
          <w:rFonts w:ascii="Times New Roman" w:hAnsi="Times New Roman" w:eastAsia="方正仿宋简体"/>
          <w:sz w:val="30"/>
          <w:szCs w:val="30"/>
        </w:rPr>
        <w:t>/</w:t>
      </w:r>
      <w:r>
        <w:rPr>
          <w:rFonts w:hint="eastAsia" w:ascii="Times New Roman" w:hAnsi="Times New Roman" w:eastAsia="方正仿宋简体"/>
          <w:sz w:val="30"/>
          <w:szCs w:val="30"/>
        </w:rPr>
        <w:t>提取应急申请表</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r>
        <w:rPr>
          <w:rFonts w:hint="eastAsia" w:ascii="仿宋_GB2312" w:eastAsia="仿宋_GB2312"/>
          <w:bCs/>
          <w:sz w:val="28"/>
          <w:szCs w:val="28"/>
        </w:rPr>
        <w:t>附件1：</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上海期货交易所</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会员国债作为保证金业务申请表</w:t>
      </w:r>
    </w:p>
    <w:p>
      <w:pPr>
        <w:pStyle w:val="18"/>
        <w:spacing w:after="156" w:afterLines="50"/>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（期货公司会员专用）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418"/>
        <w:gridCol w:w="1417"/>
        <w:gridCol w:w="1559"/>
        <w:gridCol w:w="1134"/>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12" w:space="0"/>
              <w:bottom w:val="single" w:color="auto" w:sz="4"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申请日期</w:t>
            </w:r>
          </w:p>
        </w:tc>
        <w:tc>
          <w:tcPr>
            <w:tcW w:w="1418" w:type="dxa"/>
            <w:tcBorders>
              <w:top w:val="single" w:color="auto" w:sz="12" w:space="0"/>
              <w:bottom w:val="single" w:color="auto" w:sz="4" w:space="0"/>
            </w:tcBorders>
            <w:vAlign w:val="center"/>
          </w:tcPr>
          <w:p>
            <w:pPr>
              <w:pStyle w:val="18"/>
              <w:rPr>
                <w:rFonts w:ascii="仿宋_GB2312" w:eastAsia="仿宋_GB2312" w:hAnsiTheme="majorEastAsia"/>
                <w:szCs w:val="24"/>
                <w:lang w:eastAsia="zh-CN"/>
              </w:rPr>
            </w:pPr>
          </w:p>
        </w:tc>
        <w:tc>
          <w:tcPr>
            <w:tcW w:w="1417" w:type="dxa"/>
            <w:tcBorders>
              <w:top w:val="single" w:color="auto" w:sz="12" w:space="0"/>
              <w:bottom w:val="single" w:color="auto" w:sz="4"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会员全称</w:t>
            </w:r>
          </w:p>
        </w:tc>
        <w:tc>
          <w:tcPr>
            <w:tcW w:w="5103" w:type="dxa"/>
            <w:gridSpan w:val="3"/>
            <w:tcBorders>
              <w:top w:val="single" w:color="auto" w:sz="12" w:space="0"/>
              <w:bottom w:val="single" w:color="auto" w:sz="4"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4"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会员号</w:t>
            </w:r>
          </w:p>
        </w:tc>
        <w:tc>
          <w:tcPr>
            <w:tcW w:w="1418" w:type="dxa"/>
            <w:tcBorders>
              <w:top w:val="single" w:color="auto" w:sz="4" w:space="0"/>
              <w:bottom w:val="single" w:color="auto" w:sz="6" w:space="0"/>
            </w:tcBorders>
            <w:vAlign w:val="center"/>
          </w:tcPr>
          <w:p>
            <w:pPr>
              <w:pStyle w:val="18"/>
              <w:rPr>
                <w:rFonts w:ascii="仿宋_GB2312" w:eastAsia="仿宋_GB2312" w:hAnsiTheme="majorEastAsia"/>
                <w:szCs w:val="24"/>
                <w:lang w:eastAsia="zh-CN"/>
              </w:rPr>
            </w:pPr>
          </w:p>
        </w:tc>
        <w:tc>
          <w:tcPr>
            <w:tcW w:w="1417" w:type="dxa"/>
            <w:tcBorders>
              <w:top w:val="single" w:color="auto" w:sz="4"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会员简称</w:t>
            </w:r>
          </w:p>
        </w:tc>
        <w:tc>
          <w:tcPr>
            <w:tcW w:w="5103" w:type="dxa"/>
            <w:gridSpan w:val="3"/>
            <w:tcBorders>
              <w:top w:val="single" w:color="auto" w:sz="4"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3" w:hRule="atLeast"/>
        </w:trPr>
        <w:tc>
          <w:tcPr>
            <w:tcW w:w="1261" w:type="dxa"/>
            <w:vMerge w:val="restart"/>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会员专用账户信息</w:t>
            </w: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登记机构</w:t>
            </w:r>
          </w:p>
        </w:tc>
        <w:tc>
          <w:tcPr>
            <w:tcW w:w="6520" w:type="dxa"/>
            <w:gridSpan w:val="4"/>
            <w:tcBorders>
              <w:top w:val="single" w:color="auto" w:sz="6" w:space="0"/>
              <w:bottom w:val="single" w:color="auto" w:sz="6" w:space="0"/>
            </w:tcBorders>
            <w:vAlign w:val="center"/>
          </w:tcPr>
          <w:p>
            <w:pPr>
              <w:pStyle w:val="18"/>
              <w:ind w:left="29" w:leftChars="14"/>
              <w:jc w:val="left"/>
              <w:rPr>
                <w:rFonts w:ascii="仿宋_GB2312" w:eastAsia="仿宋_GB2312" w:hAnsiTheme="majorEastAsia"/>
                <w:b/>
                <w:bCs/>
                <w:szCs w:val="24"/>
                <w:lang w:eastAsia="zh-CN"/>
              </w:rPr>
            </w:pPr>
            <w:r>
              <w:rPr>
                <w:rFonts w:hint="eastAsia" w:ascii="仿宋_GB2312" w:eastAsia="仿宋_GB2312" w:hAnsiTheme="minorEastAsia"/>
                <w:b/>
                <w:bCs/>
                <w:szCs w:val="24"/>
              </w:rPr>
              <w:t>中央结算</w:t>
            </w:r>
            <w:r>
              <w:rPr>
                <w:rFonts w:hint="eastAsia" w:ascii="仿宋_GB2312" w:eastAsia="仿宋_GB2312" w:hAnsiTheme="minorEastAsia"/>
                <w:b/>
                <w:bCs/>
                <w:szCs w:val="24"/>
                <w:lang w:eastAsia="zh-CN"/>
              </w:rPr>
              <w:t>公司</w:t>
            </w:r>
            <w:r>
              <w:rPr>
                <w:rFonts w:hint="eastAsia" w:ascii="仿宋_GB2312" w:eastAsia="仿宋_GB2312" w:hAnsiTheme="minorEastAsia"/>
                <w:b/>
                <w:bCs/>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账户全称</w:t>
            </w:r>
          </w:p>
        </w:tc>
        <w:tc>
          <w:tcPr>
            <w:tcW w:w="6520" w:type="dxa"/>
            <w:gridSpan w:val="4"/>
            <w:tcBorders>
              <w:top w:val="single" w:color="auto" w:sz="6" w:space="0"/>
              <w:bottom w:val="single" w:color="auto" w:sz="6" w:space="0"/>
            </w:tcBorders>
            <w:vAlign w:val="center"/>
          </w:tcPr>
          <w:p>
            <w:pPr>
              <w:pStyle w:val="18"/>
              <w:ind w:left="29" w:leftChars="14"/>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账户号码</w:t>
            </w:r>
          </w:p>
        </w:tc>
        <w:tc>
          <w:tcPr>
            <w:tcW w:w="6520" w:type="dxa"/>
            <w:gridSpan w:val="4"/>
            <w:tcBorders>
              <w:top w:val="single" w:color="auto" w:sz="6" w:space="0"/>
              <w:bottom w:val="single" w:color="auto" w:sz="6" w:space="0"/>
            </w:tcBorders>
            <w:vAlign w:val="center"/>
          </w:tcPr>
          <w:p>
            <w:pPr>
              <w:pStyle w:val="18"/>
              <w:ind w:left="29" w:leftChars="14"/>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8" w:type="dxa"/>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公司证件</w:t>
            </w:r>
          </w:p>
        </w:tc>
        <w:tc>
          <w:tcPr>
            <w:tcW w:w="2976" w:type="dxa"/>
            <w:gridSpan w:val="2"/>
            <w:tcBorders>
              <w:top w:val="single" w:color="auto" w:sz="6" w:space="0"/>
              <w:bottom w:val="single" w:color="auto" w:sz="6" w:space="0"/>
            </w:tcBorders>
            <w:shd w:val="clear" w:color="auto" w:fill="auto"/>
            <w:vAlign w:val="center"/>
          </w:tcPr>
          <w:p>
            <w:pPr>
              <w:pStyle w:val="18"/>
              <w:jc w:val="left"/>
              <w:rPr>
                <w:rFonts w:ascii="仿宋_GB2312" w:eastAsia="仿宋_GB2312" w:hAnsiTheme="majorEastAsia"/>
                <w:szCs w:val="24"/>
                <w:lang w:eastAsia="zh-CN"/>
              </w:rPr>
            </w:pPr>
            <w:r>
              <w:rPr>
                <w:rFonts w:hint="eastAsia" w:ascii="仿宋_GB2312" w:eastAsia="仿宋_GB2312" w:hAnsiTheme="majorEastAsia"/>
                <w:szCs w:val="24"/>
                <w:lang w:eastAsia="zh-CN"/>
              </w:rPr>
              <w:t>营业执照</w:t>
            </w:r>
          </w:p>
        </w:tc>
        <w:tc>
          <w:tcPr>
            <w:tcW w:w="1134" w:type="dxa"/>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证件号</w:t>
            </w:r>
          </w:p>
        </w:tc>
        <w:tc>
          <w:tcPr>
            <w:tcW w:w="2410" w:type="dxa"/>
            <w:tcBorders>
              <w:top w:val="single" w:color="auto" w:sz="6" w:space="0"/>
              <w:bottom w:val="single" w:color="auto" w:sz="6" w:space="0"/>
            </w:tcBorders>
            <w:shd w:val="clear" w:color="auto" w:fill="auto"/>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联系人1</w:t>
            </w: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7"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5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13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10"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联系人2</w:t>
            </w:r>
          </w:p>
        </w:tc>
        <w:tc>
          <w:tcPr>
            <w:tcW w:w="1418"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417"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559"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134"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10" w:type="dxa"/>
            <w:tcBorders>
              <w:top w:val="single" w:color="auto" w:sz="6" w:space="0"/>
              <w:bottom w:val="single" w:color="auto" w:sz="12"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3" w:hRule="atLeast"/>
        </w:trPr>
        <w:tc>
          <w:tcPr>
            <w:tcW w:w="9199" w:type="dxa"/>
            <w:gridSpan w:val="6"/>
            <w:tcBorders>
              <w:top w:val="single" w:color="auto" w:sz="12" w:space="0"/>
            </w:tcBorders>
          </w:tcPr>
          <w:p>
            <w:pPr>
              <w:pStyle w:val="18"/>
              <w:spacing w:after="156" w:afterLines="50" w:line="360" w:lineRule="auto"/>
              <w:ind w:firstLine="520" w:firstLineChars="200"/>
              <w:rPr>
                <w:rFonts w:ascii="仿宋_GB2312" w:eastAsia="仿宋_GB2312" w:hAnsiTheme="majorEastAsia"/>
                <w:sz w:val="26"/>
                <w:szCs w:val="26"/>
                <w:lang w:eastAsia="zh-CN"/>
              </w:rPr>
            </w:pPr>
          </w:p>
          <w:p>
            <w:pPr>
              <w:pStyle w:val="18"/>
              <w:spacing w:after="156" w:afterLines="50"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1、本公司承诺遵守国债作为保证金业务的有关法律法规和业务规则。</w:t>
            </w:r>
          </w:p>
          <w:p>
            <w:pPr>
              <w:pStyle w:val="18"/>
              <w:spacing w:after="156" w:afterLines="50"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2、本公司同意将本公司提交上期所的国债作为保证金。</w:t>
            </w:r>
          </w:p>
          <w:p>
            <w:pPr>
              <w:pStyle w:val="18"/>
              <w:spacing w:after="156" w:afterLines="50"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3、本公司不履行或不能完全履行交易保证金债务和相关债务时，本公司同意上期所处置相关国债，所得款项用于清偿本公司的交易保证金债务和相关债务。</w:t>
            </w:r>
          </w:p>
          <w:p>
            <w:pPr>
              <w:pStyle w:val="18"/>
              <w:spacing w:after="156" w:afterLines="50"/>
              <w:ind w:firstLine="520" w:firstLineChars="200"/>
              <w:jc w:val="left"/>
              <w:rPr>
                <w:rFonts w:ascii="仿宋_GB2312" w:eastAsia="仿宋_GB2312" w:hAnsiTheme="majorEastAsia"/>
                <w:sz w:val="26"/>
                <w:szCs w:val="26"/>
                <w:lang w:eastAsia="zh-CN"/>
              </w:rPr>
            </w:pPr>
          </w:p>
          <w:p>
            <w:pPr>
              <w:pStyle w:val="18"/>
              <w:spacing w:after="156" w:afterLines="50"/>
              <w:ind w:firstLine="3510" w:firstLineChars="1350"/>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会员单位公章：</w:t>
            </w:r>
          </w:p>
          <w:p>
            <w:pPr>
              <w:pStyle w:val="18"/>
              <w:spacing w:after="156" w:afterLines="50"/>
              <w:jc w:val="left"/>
              <w:rPr>
                <w:rFonts w:ascii="仿宋_GB2312" w:eastAsia="仿宋_GB2312" w:hAnsiTheme="majorEastAsia"/>
                <w:sz w:val="26"/>
                <w:szCs w:val="26"/>
                <w:lang w:eastAsia="zh-CN"/>
              </w:rPr>
            </w:pPr>
          </w:p>
          <w:p>
            <w:pPr>
              <w:pStyle w:val="18"/>
              <w:spacing w:after="156" w:afterLines="50"/>
              <w:ind w:firstLine="650" w:firstLineChars="250"/>
              <w:jc w:val="left"/>
              <w:rPr>
                <w:rFonts w:ascii="仿宋_GB2312" w:eastAsia="仿宋_GB2312" w:hAnsiTheme="majorEastAsia"/>
                <w:sz w:val="26"/>
                <w:szCs w:val="26"/>
                <w:lang w:eastAsia="zh-CN"/>
              </w:rPr>
            </w:pPr>
          </w:p>
          <w:p>
            <w:pPr>
              <w:pStyle w:val="18"/>
              <w:spacing w:after="156" w:afterLines="50"/>
              <w:ind w:firstLine="3554" w:firstLineChars="1367"/>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年    月    日</w:t>
            </w:r>
          </w:p>
        </w:tc>
      </w:tr>
    </w:tbl>
    <w:p>
      <w:pPr>
        <w:pStyle w:val="18"/>
        <w:spacing w:after="156"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bookmarkStart w:id="0" w:name="_Hlk51510359"/>
            <w:r>
              <w:rPr>
                <w:rFonts w:hint="eastAsia" w:ascii="Microsoft YaHei UI" w:hAnsi="Microsoft YaHei UI" w:eastAsia="Microsoft YaHei UI"/>
                <w:spacing w:val="6"/>
                <w:sz w:val="21"/>
                <w:szCs w:val="21"/>
                <w:lang w:eastAsia="zh-CN"/>
              </w:rPr>
              <w:t>以下由上期所填写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bookmarkEnd w:id="0"/>
    </w:tbl>
    <w:p>
      <w:pPr>
        <w:rPr>
          <w:rFonts w:ascii="仿宋_GB2312" w:eastAsia="仿宋_GB2312"/>
          <w:b/>
          <w:sz w:val="32"/>
          <w:szCs w:val="32"/>
        </w:rPr>
      </w:pPr>
      <w:r>
        <w:rPr>
          <w:rFonts w:ascii="仿宋_GB2312" w:eastAsia="仿宋_GB2312"/>
          <w:b/>
          <w:sz w:val="32"/>
          <w:szCs w:val="32"/>
        </w:rPr>
        <w:br w:type="page"/>
      </w:r>
    </w:p>
    <w:p>
      <w:pPr>
        <w:rPr>
          <w:rFonts w:ascii="仿宋_GB2312" w:eastAsia="仿宋_GB2312"/>
          <w:bCs/>
          <w:sz w:val="28"/>
          <w:szCs w:val="28"/>
        </w:rPr>
      </w:pPr>
      <w:r>
        <w:rPr>
          <w:rFonts w:hint="eastAsia" w:ascii="仿宋_GB2312" w:eastAsia="仿宋_GB2312"/>
          <w:bCs/>
          <w:sz w:val="28"/>
          <w:szCs w:val="28"/>
        </w:rPr>
        <w:t>附件2：</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上海期货交易所</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会员国债作为保证金业务申请表</w:t>
      </w:r>
    </w:p>
    <w:p>
      <w:pPr>
        <w:pStyle w:val="18"/>
        <w:spacing w:after="240"/>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(非期货公司会员专用)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579"/>
        <w:gridCol w:w="1256"/>
        <w:gridCol w:w="164"/>
        <w:gridCol w:w="1537"/>
        <w:gridCol w:w="974"/>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申请日期</w:t>
            </w:r>
          </w:p>
        </w:tc>
        <w:tc>
          <w:tcPr>
            <w:tcW w:w="1579"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c>
          <w:tcPr>
            <w:tcW w:w="1420" w:type="dxa"/>
            <w:gridSpan w:val="2"/>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会员全称</w:t>
            </w:r>
          </w:p>
        </w:tc>
        <w:tc>
          <w:tcPr>
            <w:tcW w:w="4939" w:type="dxa"/>
            <w:gridSpan w:val="3"/>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会员号</w:t>
            </w:r>
          </w:p>
        </w:tc>
        <w:tc>
          <w:tcPr>
            <w:tcW w:w="1579"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c>
          <w:tcPr>
            <w:tcW w:w="1420" w:type="dxa"/>
            <w:gridSpan w:val="2"/>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会员简称</w:t>
            </w:r>
          </w:p>
        </w:tc>
        <w:tc>
          <w:tcPr>
            <w:tcW w:w="4939" w:type="dxa"/>
            <w:gridSpan w:val="3"/>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vMerge w:val="restart"/>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会员债券账户信息</w:t>
            </w: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登记机构</w:t>
            </w:r>
          </w:p>
        </w:tc>
        <w:tc>
          <w:tcPr>
            <w:tcW w:w="6359" w:type="dxa"/>
            <w:gridSpan w:val="5"/>
            <w:tcBorders>
              <w:top w:val="single" w:color="auto" w:sz="6" w:space="0"/>
              <w:bottom w:val="single" w:color="auto" w:sz="6" w:space="0"/>
            </w:tcBorders>
            <w:vAlign w:val="center"/>
          </w:tcPr>
          <w:p>
            <w:pPr>
              <w:pStyle w:val="18"/>
              <w:jc w:val="left"/>
              <w:rPr>
                <w:rFonts w:ascii="仿宋_GB2312" w:eastAsia="仿宋_GB2312" w:hAnsiTheme="majorEastAsia"/>
                <w:b/>
                <w:bCs/>
                <w:szCs w:val="24"/>
                <w:lang w:eastAsia="zh-CN"/>
              </w:rPr>
            </w:pPr>
            <w:r>
              <w:rPr>
                <w:rFonts w:hint="eastAsia" w:ascii="仿宋_GB2312" w:eastAsia="仿宋_GB2312" w:hAnsiTheme="minorEastAsia"/>
                <w:b/>
                <w:bCs/>
                <w:szCs w:val="24"/>
              </w:rPr>
              <w:t>中央结算</w:t>
            </w:r>
            <w:r>
              <w:rPr>
                <w:rFonts w:hint="eastAsia" w:ascii="仿宋_GB2312" w:eastAsia="仿宋_GB2312" w:hAnsiTheme="minorEastAsia"/>
                <w:b/>
                <w:bCs/>
                <w:szCs w:val="24"/>
                <w:lang w:eastAsia="zh-CN"/>
              </w:rPr>
              <w:t>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账户全称</w:t>
            </w:r>
          </w:p>
        </w:tc>
        <w:tc>
          <w:tcPr>
            <w:tcW w:w="6359" w:type="dxa"/>
            <w:gridSpan w:val="5"/>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账户号码</w:t>
            </w:r>
          </w:p>
        </w:tc>
        <w:tc>
          <w:tcPr>
            <w:tcW w:w="6359" w:type="dxa"/>
            <w:gridSpan w:val="5"/>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公司证件</w:t>
            </w:r>
          </w:p>
        </w:tc>
        <w:tc>
          <w:tcPr>
            <w:tcW w:w="2957" w:type="dxa"/>
            <w:gridSpan w:val="3"/>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营业执照</w:t>
            </w:r>
          </w:p>
        </w:tc>
        <w:tc>
          <w:tcPr>
            <w:tcW w:w="97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证件号</w:t>
            </w:r>
          </w:p>
        </w:tc>
        <w:tc>
          <w:tcPr>
            <w:tcW w:w="242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联系人1</w:t>
            </w: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256"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701"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97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2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61"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联系人2</w:t>
            </w:r>
          </w:p>
        </w:tc>
        <w:tc>
          <w:tcPr>
            <w:tcW w:w="1579"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256"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701" w:type="dxa"/>
            <w:gridSpan w:val="2"/>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974"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28"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3" w:hRule="atLeast"/>
        </w:trPr>
        <w:tc>
          <w:tcPr>
            <w:tcW w:w="9199" w:type="dxa"/>
            <w:gridSpan w:val="7"/>
            <w:tcBorders>
              <w:top w:val="single" w:color="auto" w:sz="12" w:space="0"/>
            </w:tcBorders>
          </w:tcPr>
          <w:p>
            <w:pPr>
              <w:pStyle w:val="18"/>
              <w:spacing w:line="360" w:lineRule="auto"/>
              <w:ind w:firstLine="520" w:firstLineChars="200"/>
              <w:rPr>
                <w:rFonts w:ascii="仿宋_GB2312" w:eastAsia="仿宋_GB2312" w:hAnsiTheme="majorEastAsia"/>
                <w:sz w:val="26"/>
                <w:szCs w:val="26"/>
                <w:lang w:eastAsia="zh-CN"/>
              </w:rPr>
            </w:pPr>
          </w:p>
          <w:p>
            <w:pPr>
              <w:pStyle w:val="18"/>
              <w:spacing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1、本公司承诺遵守国债作为保证金业务的有关法律法规和业务规则，</w:t>
            </w:r>
            <w:r>
              <w:rPr>
                <w:rFonts w:ascii="仿宋_GB2312" w:eastAsia="仿宋_GB2312" w:hAnsiTheme="majorEastAsia"/>
                <w:sz w:val="26"/>
                <w:szCs w:val="26"/>
                <w:lang w:eastAsia="zh-CN"/>
              </w:rPr>
              <w:t>愿意承担本公司的相关责任</w:t>
            </w:r>
            <w:r>
              <w:rPr>
                <w:rFonts w:hint="eastAsia" w:ascii="仿宋_GB2312" w:eastAsia="仿宋_GB2312" w:hAnsiTheme="majorEastAsia"/>
                <w:sz w:val="26"/>
                <w:szCs w:val="26"/>
                <w:lang w:eastAsia="zh-CN"/>
              </w:rPr>
              <w:t>。</w:t>
            </w:r>
          </w:p>
          <w:p>
            <w:pPr>
              <w:pStyle w:val="18"/>
              <w:spacing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2、本公司同意将本公司提交上期所的国债作为保证金。</w:t>
            </w:r>
          </w:p>
          <w:p>
            <w:pPr>
              <w:pStyle w:val="18"/>
              <w:spacing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3、本公司不履行或不能完全履行交易保证金债务和相关债务时，本公司同意上期所处置相关国债，所得款项用于清偿本公司的交易保证金债务和相关债务。</w:t>
            </w:r>
          </w:p>
          <w:p>
            <w:pPr>
              <w:pStyle w:val="18"/>
              <w:spacing w:line="360" w:lineRule="auto"/>
              <w:ind w:firstLine="520" w:firstLineChars="200"/>
              <w:rPr>
                <w:rFonts w:ascii="仿宋_GB2312" w:eastAsia="仿宋_GB2312" w:hAnsiTheme="majorEastAsia"/>
                <w:sz w:val="26"/>
                <w:szCs w:val="26"/>
                <w:lang w:eastAsia="zh-CN"/>
              </w:rPr>
            </w:pPr>
          </w:p>
          <w:p>
            <w:pPr>
              <w:pStyle w:val="18"/>
              <w:spacing w:line="360" w:lineRule="auto"/>
              <w:ind w:firstLine="520" w:firstLineChars="200"/>
              <w:rPr>
                <w:rFonts w:ascii="仿宋_GB2312" w:eastAsia="仿宋_GB2312" w:hAnsiTheme="majorEastAsia"/>
                <w:sz w:val="26"/>
                <w:szCs w:val="26"/>
                <w:lang w:eastAsia="zh-CN"/>
              </w:rPr>
            </w:pPr>
          </w:p>
          <w:p>
            <w:pPr>
              <w:pStyle w:val="18"/>
              <w:spacing w:line="360" w:lineRule="auto"/>
              <w:ind w:firstLine="3770" w:firstLineChars="1450"/>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会员单位公章：</w:t>
            </w:r>
          </w:p>
          <w:p>
            <w:pPr>
              <w:pStyle w:val="18"/>
              <w:spacing w:line="360" w:lineRule="auto"/>
              <w:ind w:firstLine="3770" w:firstLineChars="1450"/>
              <w:jc w:val="left"/>
              <w:rPr>
                <w:rFonts w:ascii="仿宋_GB2312" w:eastAsia="仿宋_GB2312" w:hAnsiTheme="majorEastAsia"/>
                <w:sz w:val="26"/>
                <w:szCs w:val="26"/>
                <w:lang w:eastAsia="zh-CN"/>
              </w:rPr>
            </w:pPr>
          </w:p>
          <w:p>
            <w:pPr>
              <w:pStyle w:val="18"/>
              <w:spacing w:line="360" w:lineRule="auto"/>
              <w:ind w:firstLine="3770" w:firstLineChars="1450"/>
              <w:jc w:val="left"/>
              <w:rPr>
                <w:rFonts w:ascii="仿宋_GB2312" w:eastAsia="仿宋_GB2312" w:hAnsiTheme="majorEastAsia"/>
                <w:sz w:val="26"/>
                <w:szCs w:val="26"/>
                <w:lang w:eastAsia="zh-CN"/>
              </w:rPr>
            </w:pPr>
          </w:p>
          <w:p>
            <w:pPr>
              <w:pStyle w:val="18"/>
              <w:spacing w:line="360" w:lineRule="auto"/>
              <w:ind w:firstLine="3770" w:firstLineChars="1450"/>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年    月    日</w:t>
            </w:r>
          </w:p>
        </w:tc>
      </w:tr>
    </w:tbl>
    <w:p>
      <w:pPr>
        <w:pStyle w:val="18"/>
        <w:spacing w:after="156"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以下由上期所填写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pStyle w:val="18"/>
        <w:rPr>
          <w:rFonts w:ascii="仿宋_GB2312" w:eastAsia="仿宋_GB2312" w:hAnsiTheme="majorEastAsia"/>
          <w:bCs/>
          <w:sz w:val="28"/>
          <w:szCs w:val="28"/>
          <w:lang w:eastAsia="zh-CN"/>
        </w:rPr>
      </w:pPr>
      <w:r>
        <w:rPr>
          <w:rFonts w:ascii="仿宋_GB2312" w:eastAsia="仿宋_GB2312" w:hAnsiTheme="majorEastAsia"/>
          <w:bCs/>
          <w:sz w:val="28"/>
          <w:szCs w:val="28"/>
          <w:lang w:eastAsia="zh-CN"/>
        </w:rPr>
        <w:br w:type="page"/>
      </w:r>
      <w:r>
        <w:rPr>
          <w:rFonts w:hint="eastAsia" w:ascii="仿宋_GB2312" w:eastAsia="仿宋_GB2312" w:hAnsiTheme="majorEastAsia"/>
          <w:bCs/>
          <w:sz w:val="28"/>
          <w:szCs w:val="28"/>
          <w:lang w:eastAsia="zh-CN"/>
        </w:rPr>
        <w:t>附件3：</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上海期货交易所</w:t>
      </w:r>
    </w:p>
    <w:p>
      <w:pPr>
        <w:pStyle w:val="18"/>
        <w:spacing w:after="240"/>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客户国债作为保证金业务申请表</w:t>
      </w:r>
    </w:p>
    <w:tbl>
      <w:tblPr>
        <w:tblStyle w:val="9"/>
        <w:tblW w:w="9640"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39"/>
        <w:gridCol w:w="283"/>
        <w:gridCol w:w="1276"/>
        <w:gridCol w:w="1701"/>
        <w:gridCol w:w="1558"/>
        <w:gridCol w:w="1134"/>
        <w:gridCol w:w="2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申请日期</w:t>
            </w:r>
          </w:p>
        </w:tc>
        <w:tc>
          <w:tcPr>
            <w:tcW w:w="1276" w:type="dxa"/>
            <w:tcBorders>
              <w:top w:val="single" w:color="auto" w:sz="12" w:space="0"/>
              <w:bottom w:val="single" w:color="auto" w:sz="6" w:space="0"/>
            </w:tcBorders>
            <w:vAlign w:val="center"/>
          </w:tcPr>
          <w:p>
            <w:pPr>
              <w:pStyle w:val="18"/>
              <w:rPr>
                <w:rFonts w:ascii="仿宋_GB2312" w:eastAsia="仿宋_GB2312" w:hAnsiTheme="majorEastAsia"/>
                <w:szCs w:val="24"/>
                <w:lang w:eastAsia="zh-CN"/>
              </w:rPr>
            </w:pPr>
          </w:p>
        </w:tc>
        <w:tc>
          <w:tcPr>
            <w:tcW w:w="1701"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会员全称</w:t>
            </w:r>
          </w:p>
        </w:tc>
        <w:tc>
          <w:tcPr>
            <w:tcW w:w="5241" w:type="dxa"/>
            <w:gridSpan w:val="3"/>
            <w:tcBorders>
              <w:top w:val="single" w:color="auto" w:sz="12"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会员号</w:t>
            </w:r>
          </w:p>
        </w:tc>
        <w:tc>
          <w:tcPr>
            <w:tcW w:w="1276"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c>
          <w:tcPr>
            <w:tcW w:w="170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w:t>
            </w:r>
            <w:r>
              <w:rPr>
                <w:rFonts w:ascii="仿宋_GB2312" w:eastAsia="仿宋_GB2312" w:hAnsiTheme="majorEastAsia"/>
                <w:szCs w:val="24"/>
                <w:lang w:eastAsia="zh-CN"/>
              </w:rPr>
              <w:t>简称</w:t>
            </w:r>
          </w:p>
        </w:tc>
        <w:tc>
          <w:tcPr>
            <w:tcW w:w="5241" w:type="dxa"/>
            <w:gridSpan w:val="3"/>
            <w:tcBorders>
              <w:top w:val="single" w:color="auto" w:sz="6" w:space="0"/>
              <w:bottom w:val="single" w:color="auto" w:sz="6" w:space="0"/>
            </w:tcBorders>
            <w:vAlign w:val="center"/>
          </w:tcPr>
          <w:p>
            <w:pPr>
              <w:pStyle w:val="18"/>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期货客户号</w:t>
            </w:r>
          </w:p>
        </w:tc>
        <w:tc>
          <w:tcPr>
            <w:tcW w:w="1276"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c>
          <w:tcPr>
            <w:tcW w:w="170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期货客户名</w:t>
            </w:r>
          </w:p>
        </w:tc>
        <w:tc>
          <w:tcPr>
            <w:tcW w:w="5241" w:type="dxa"/>
            <w:gridSpan w:val="3"/>
            <w:tcBorders>
              <w:top w:val="single" w:color="auto" w:sz="6" w:space="0"/>
              <w:bottom w:val="single" w:color="auto" w:sz="6" w:space="0"/>
            </w:tcBorders>
            <w:vAlign w:val="center"/>
          </w:tcPr>
          <w:p>
            <w:pPr>
              <w:pStyle w:val="18"/>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vMerge w:val="restart"/>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客户债券</w:t>
            </w:r>
          </w:p>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账户信息</w:t>
            </w:r>
          </w:p>
        </w:tc>
        <w:tc>
          <w:tcPr>
            <w:tcW w:w="1276"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登记机构</w:t>
            </w:r>
          </w:p>
        </w:tc>
        <w:tc>
          <w:tcPr>
            <w:tcW w:w="6942" w:type="dxa"/>
            <w:gridSpan w:val="4"/>
            <w:tcBorders>
              <w:top w:val="single" w:color="auto" w:sz="6" w:space="0"/>
              <w:bottom w:val="single" w:color="auto" w:sz="6" w:space="0"/>
            </w:tcBorders>
            <w:vAlign w:val="center"/>
          </w:tcPr>
          <w:p>
            <w:pPr>
              <w:pStyle w:val="18"/>
              <w:jc w:val="left"/>
              <w:rPr>
                <w:rFonts w:ascii="仿宋_GB2312" w:eastAsia="仿宋_GB2312" w:hAnsiTheme="majorEastAsia"/>
                <w:b/>
                <w:bCs/>
                <w:szCs w:val="24"/>
                <w:lang w:eastAsia="zh-CN"/>
              </w:rPr>
            </w:pPr>
            <w:r>
              <w:rPr>
                <w:rFonts w:hint="eastAsia" w:ascii="仿宋_GB2312" w:eastAsia="仿宋_GB2312" w:hAnsiTheme="minorEastAsia"/>
                <w:b/>
                <w:bCs/>
                <w:szCs w:val="24"/>
              </w:rPr>
              <w:t>中央结算</w:t>
            </w:r>
            <w:r>
              <w:rPr>
                <w:rFonts w:hint="eastAsia" w:ascii="仿宋_GB2312" w:eastAsia="仿宋_GB2312" w:hAnsiTheme="minorEastAsia"/>
                <w:b/>
                <w:bCs/>
                <w:szCs w:val="24"/>
                <w:lang w:eastAsia="zh-CN"/>
              </w:rPr>
              <w:t>公司</w:t>
            </w:r>
            <w:r>
              <w:rPr>
                <w:rFonts w:hint="eastAsia" w:ascii="仿宋_GB2312" w:eastAsia="仿宋_GB2312" w:hAnsiTheme="minorEastAsia"/>
                <w:b/>
                <w:bCs/>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276"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账户全称</w:t>
            </w:r>
          </w:p>
        </w:tc>
        <w:tc>
          <w:tcPr>
            <w:tcW w:w="6942" w:type="dxa"/>
            <w:gridSpan w:val="4"/>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276"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账户号码</w:t>
            </w:r>
          </w:p>
        </w:tc>
        <w:tc>
          <w:tcPr>
            <w:tcW w:w="6942" w:type="dxa"/>
            <w:gridSpan w:val="4"/>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exact"/>
        </w:trPr>
        <w:tc>
          <w:tcPr>
            <w:tcW w:w="1422" w:type="dxa"/>
            <w:gridSpan w:val="2"/>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276" w:type="dxa"/>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公司证件</w:t>
            </w:r>
          </w:p>
        </w:tc>
        <w:tc>
          <w:tcPr>
            <w:tcW w:w="3259" w:type="dxa"/>
            <w:gridSpan w:val="2"/>
            <w:tcBorders>
              <w:top w:val="single" w:color="auto" w:sz="6" w:space="0"/>
              <w:bottom w:val="single" w:color="auto" w:sz="6" w:space="0"/>
            </w:tcBorders>
            <w:shd w:val="clear" w:color="auto" w:fill="auto"/>
            <w:vAlign w:val="center"/>
          </w:tcPr>
          <w:p>
            <w:pPr>
              <w:pStyle w:val="18"/>
              <w:ind w:left="360"/>
              <w:jc w:val="left"/>
              <w:rPr>
                <w:rFonts w:ascii="仿宋_GB2312" w:eastAsia="仿宋_GB2312" w:hAnsiTheme="majorEastAsia"/>
                <w:szCs w:val="24"/>
                <w:lang w:eastAsia="zh-CN"/>
              </w:rPr>
            </w:pPr>
          </w:p>
        </w:tc>
        <w:tc>
          <w:tcPr>
            <w:tcW w:w="113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证件号</w:t>
            </w:r>
          </w:p>
        </w:tc>
        <w:tc>
          <w:tcPr>
            <w:tcW w:w="2549"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联系人1</w:t>
            </w:r>
          </w:p>
        </w:tc>
        <w:tc>
          <w:tcPr>
            <w:tcW w:w="1276"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70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558"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c>
          <w:tcPr>
            <w:tcW w:w="113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549"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422" w:type="dxa"/>
            <w:gridSpan w:val="2"/>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联系人2</w:t>
            </w:r>
          </w:p>
        </w:tc>
        <w:tc>
          <w:tcPr>
            <w:tcW w:w="1276"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701"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558" w:type="dxa"/>
            <w:tcBorders>
              <w:top w:val="single" w:color="auto" w:sz="6" w:space="0"/>
              <w:bottom w:val="single" w:color="auto" w:sz="12" w:space="0"/>
            </w:tcBorders>
            <w:vAlign w:val="center"/>
          </w:tcPr>
          <w:p>
            <w:pPr>
              <w:pStyle w:val="18"/>
              <w:rPr>
                <w:rFonts w:ascii="仿宋_GB2312" w:eastAsia="仿宋_GB2312" w:hAnsiTheme="majorEastAsia"/>
                <w:szCs w:val="24"/>
                <w:lang w:eastAsia="zh-CN"/>
              </w:rPr>
            </w:pPr>
          </w:p>
        </w:tc>
        <w:tc>
          <w:tcPr>
            <w:tcW w:w="1134"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549" w:type="dxa"/>
            <w:tcBorders>
              <w:top w:val="single" w:color="auto" w:sz="6" w:space="0"/>
              <w:bottom w:val="single" w:color="auto" w:sz="12"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8" w:hRule="atLeast"/>
        </w:trPr>
        <w:tc>
          <w:tcPr>
            <w:tcW w:w="1134" w:type="dxa"/>
            <w:tcBorders>
              <w:top w:val="single" w:color="auto" w:sz="12" w:space="0"/>
              <w:right w:val="single" w:color="auto" w:sz="4" w:space="0"/>
            </w:tcBorders>
            <w:vAlign w:val="center"/>
          </w:tcPr>
          <w:p>
            <w:pPr>
              <w:pStyle w:val="18"/>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客户</w:t>
            </w:r>
          </w:p>
        </w:tc>
        <w:tc>
          <w:tcPr>
            <w:tcW w:w="8501" w:type="dxa"/>
            <w:gridSpan w:val="6"/>
            <w:tcBorders>
              <w:top w:val="single" w:color="auto" w:sz="12" w:space="0"/>
              <w:left w:val="single" w:color="auto" w:sz="4" w:space="0"/>
            </w:tcBorders>
            <w:vAlign w:val="center"/>
          </w:tcPr>
          <w:p>
            <w:pPr>
              <w:pStyle w:val="18"/>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 xml:space="preserve"> </w:t>
            </w:r>
            <w:r>
              <w:rPr>
                <w:rFonts w:ascii="仿宋_GB2312" w:eastAsia="仿宋_GB2312" w:hAnsiTheme="majorEastAsia"/>
                <w:sz w:val="26"/>
                <w:szCs w:val="26"/>
                <w:lang w:eastAsia="zh-CN"/>
              </w:rPr>
              <w:t xml:space="preserve">   </w:t>
            </w:r>
            <w:r>
              <w:rPr>
                <w:rFonts w:hint="eastAsia" w:ascii="仿宋_GB2312" w:eastAsia="仿宋_GB2312" w:hAnsiTheme="majorEastAsia"/>
                <w:sz w:val="26"/>
                <w:szCs w:val="26"/>
                <w:lang w:eastAsia="zh-CN"/>
              </w:rPr>
              <w:t>1、本公司/机构委托________（会员简称）办理国债作为保证金有关事项，本公司/机构承诺遵守</w:t>
            </w:r>
            <w:r>
              <w:rPr>
                <w:rFonts w:hint="eastAsia" w:ascii="仿宋_GB2312" w:hAnsi="宋体" w:eastAsia="仿宋_GB2312"/>
                <w:sz w:val="26"/>
                <w:szCs w:val="26"/>
                <w:lang w:eastAsia="zh-CN"/>
              </w:rPr>
              <w:t>国债</w:t>
            </w:r>
            <w:r>
              <w:rPr>
                <w:rFonts w:hint="eastAsia" w:ascii="仿宋_GB2312" w:hAnsi="宋体" w:eastAsia="仿宋_GB2312"/>
                <w:sz w:val="26"/>
                <w:szCs w:val="26"/>
              </w:rPr>
              <w:t>作为保证金业务的有关法律法规和业务规则</w:t>
            </w:r>
            <w:r>
              <w:rPr>
                <w:rFonts w:hint="eastAsia" w:ascii="仿宋_GB2312" w:eastAsia="仿宋_GB2312" w:hAnsiTheme="majorEastAsia"/>
                <w:sz w:val="26"/>
                <w:szCs w:val="26"/>
                <w:lang w:eastAsia="zh-CN"/>
              </w:rPr>
              <w:t>，愿意承担本公司/机构的相关责任。</w:t>
            </w:r>
          </w:p>
          <w:p>
            <w:pPr>
              <w:pStyle w:val="18"/>
              <w:ind w:firstLine="520" w:firstLineChars="200"/>
              <w:rPr>
                <w:rFonts w:ascii="仿宋_GB2312" w:eastAsia="仿宋_GB2312" w:hAnsiTheme="majorEastAsia"/>
                <w:sz w:val="26"/>
                <w:szCs w:val="26"/>
                <w:lang w:eastAsia="zh-CN"/>
              </w:rPr>
            </w:pPr>
            <w:r>
              <w:rPr>
                <w:rFonts w:ascii="仿宋_GB2312" w:eastAsia="仿宋_GB2312" w:hAnsiTheme="majorEastAsia"/>
                <w:sz w:val="26"/>
                <w:szCs w:val="26"/>
                <w:lang w:eastAsia="zh-CN"/>
              </w:rPr>
              <w:t>2</w:t>
            </w:r>
            <w:r>
              <w:rPr>
                <w:rFonts w:hint="eastAsia" w:ascii="仿宋_GB2312" w:eastAsia="仿宋_GB2312" w:hAnsiTheme="majorEastAsia"/>
                <w:sz w:val="26"/>
                <w:szCs w:val="26"/>
                <w:lang w:eastAsia="zh-CN"/>
              </w:rPr>
              <w:t>、本公司/机构同意将国债提交________（会员简称）作为保证金，本公司/机构不履行或不能完全履行交易保证金债务和相关债务时，本公司/机构同意________（会员简称）处置相关国债，所得款项用于清偿本公司/机构的交易保证金债务和相关债务。</w:t>
            </w:r>
            <w:r>
              <w:rPr>
                <w:rFonts w:ascii="仿宋_GB2312" w:eastAsia="仿宋_GB2312" w:hAnsiTheme="majorEastAsia"/>
                <w:sz w:val="26"/>
                <w:szCs w:val="26"/>
                <w:lang w:eastAsia="zh-CN"/>
              </w:rPr>
              <w:br w:type="textWrapping"/>
            </w:r>
            <w:r>
              <w:rPr>
                <w:rFonts w:hint="eastAsia" w:ascii="仿宋_GB2312" w:eastAsia="仿宋_GB2312" w:hAnsiTheme="majorEastAsia"/>
                <w:sz w:val="26"/>
                <w:szCs w:val="26"/>
                <w:lang w:eastAsia="zh-CN"/>
              </w:rPr>
              <w:t xml:space="preserve">    3、本公司/机构同意________（会员简称）将本公司/机构的国债提交上期所作为保证金，________（会员简称）不履行或不能完全履行交易保证金债务和相关债务时，本公司/机构同意上期所处置相关国债，所得款项用于清偿________（会员简称）的交易保证金债务和相关债务。</w:t>
            </w:r>
          </w:p>
          <w:p>
            <w:pPr>
              <w:pStyle w:val="18"/>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4、本公司/机构在此郑重声明：本表及附件（如有）由本公司/机构经授权人员填写，内容真实、准确、完整。</w:t>
            </w:r>
            <w:r>
              <w:rPr>
                <w:rFonts w:ascii="仿宋_GB2312" w:eastAsia="仿宋_GB2312" w:hAnsiTheme="majorEastAsia"/>
                <w:sz w:val="26"/>
                <w:szCs w:val="26"/>
                <w:lang w:eastAsia="zh-CN"/>
              </w:rPr>
              <w:br w:type="textWrapping"/>
            </w:r>
            <w:r>
              <w:rPr>
                <w:rFonts w:hint="eastAsia" w:ascii="仿宋_GB2312" w:eastAsia="仿宋_GB2312" w:hAnsiTheme="majorEastAsia"/>
                <w:sz w:val="26"/>
                <w:szCs w:val="26"/>
                <w:lang w:eastAsia="zh-CN"/>
              </w:rPr>
              <w:t xml:space="preserve">   </w:t>
            </w:r>
          </w:p>
          <w:p>
            <w:pPr>
              <w:pStyle w:val="18"/>
              <w:ind w:firstLine="4284" w:firstLineChars="1648"/>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签字或盖章：</w:t>
            </w:r>
          </w:p>
          <w:p>
            <w:pPr>
              <w:pStyle w:val="18"/>
              <w:ind w:firstLine="4284" w:firstLineChars="1648"/>
              <w:jc w:val="left"/>
              <w:rPr>
                <w:rFonts w:ascii="仿宋_GB2312" w:eastAsia="仿宋_GB2312" w:hAnsiTheme="majorEastAsia"/>
                <w:sz w:val="26"/>
                <w:szCs w:val="26"/>
                <w:lang w:eastAsia="zh-CN"/>
              </w:rPr>
            </w:pPr>
          </w:p>
          <w:p>
            <w:pPr>
              <w:pStyle w:val="18"/>
              <w:ind w:firstLine="5844" w:firstLineChars="2248"/>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5" w:hRule="atLeast"/>
        </w:trPr>
        <w:tc>
          <w:tcPr>
            <w:tcW w:w="1139" w:type="dxa"/>
            <w:tcBorders>
              <w:right w:val="single" w:color="auto" w:sz="4" w:space="0"/>
            </w:tcBorders>
            <w:vAlign w:val="center"/>
          </w:tcPr>
          <w:p>
            <w:pPr>
              <w:pStyle w:val="18"/>
              <w:spacing w:after="156" w:afterLines="5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w:t>
            </w:r>
            <w:r>
              <w:rPr>
                <w:rFonts w:ascii="仿宋_GB2312" w:eastAsia="仿宋_GB2312" w:hAnsiTheme="majorEastAsia"/>
                <w:sz w:val="26"/>
                <w:szCs w:val="26"/>
                <w:lang w:eastAsia="zh-CN"/>
              </w:rPr>
              <w:t xml:space="preserve"> </w:t>
            </w:r>
          </w:p>
        </w:tc>
        <w:tc>
          <w:tcPr>
            <w:tcW w:w="8501" w:type="dxa"/>
            <w:gridSpan w:val="6"/>
            <w:tcBorders>
              <w:left w:val="single" w:color="auto" w:sz="4" w:space="0"/>
            </w:tcBorders>
            <w:vAlign w:val="center"/>
          </w:tcPr>
          <w:p>
            <w:pPr>
              <w:pStyle w:val="18"/>
              <w:spacing w:after="156" w:afterLines="50"/>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本公司保证按照客户意愿办理有关国债作为保证金业务，本公司承诺遵守国债</w:t>
            </w:r>
            <w:r>
              <w:rPr>
                <w:rFonts w:hint="eastAsia" w:ascii="仿宋_GB2312" w:hAnsi="宋体" w:eastAsia="仿宋_GB2312"/>
                <w:sz w:val="26"/>
                <w:szCs w:val="26"/>
              </w:rPr>
              <w:t>作为保证金业务的有关法律法规和业务规则</w:t>
            </w:r>
            <w:r>
              <w:rPr>
                <w:rFonts w:hint="eastAsia" w:ascii="仿宋_GB2312" w:hAnsi="宋体" w:eastAsia="仿宋_GB2312"/>
                <w:sz w:val="26"/>
                <w:szCs w:val="26"/>
                <w:lang w:eastAsia="zh-CN"/>
              </w:rPr>
              <w:t>，并核验本表及附件（如有）内容真实、准确、完整</w:t>
            </w:r>
            <w:r>
              <w:rPr>
                <w:rFonts w:hint="eastAsia" w:ascii="仿宋_GB2312" w:eastAsia="仿宋_GB2312" w:hAnsiTheme="majorEastAsia"/>
                <w:sz w:val="26"/>
                <w:szCs w:val="26"/>
                <w:lang w:eastAsia="zh-CN"/>
              </w:rPr>
              <w:t>。</w:t>
            </w:r>
          </w:p>
          <w:p>
            <w:pPr>
              <w:pStyle w:val="18"/>
              <w:ind w:firstLine="4284" w:firstLineChars="1648"/>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会员单位公章：</w:t>
            </w:r>
          </w:p>
          <w:p>
            <w:pPr>
              <w:pStyle w:val="18"/>
              <w:ind w:firstLine="5844" w:firstLineChars="2248"/>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 xml:space="preserve">年    月   </w:t>
            </w:r>
            <w:r>
              <w:rPr>
                <w:rFonts w:ascii="仿宋_GB2312" w:eastAsia="仿宋_GB2312" w:hAnsiTheme="majorEastAsia"/>
                <w:sz w:val="26"/>
                <w:szCs w:val="26"/>
                <w:lang w:eastAsia="zh-CN"/>
              </w:rPr>
              <w:t xml:space="preserve"> </w:t>
            </w:r>
            <w:r>
              <w:rPr>
                <w:rFonts w:hint="eastAsia" w:ascii="仿宋_GB2312" w:eastAsia="仿宋_GB2312" w:hAnsiTheme="majorEastAsia"/>
                <w:sz w:val="26"/>
                <w:szCs w:val="26"/>
                <w:lang w:eastAsia="zh-CN"/>
              </w:rPr>
              <w:t>日</w:t>
            </w:r>
          </w:p>
        </w:tc>
      </w:tr>
    </w:tbl>
    <w:p>
      <w:pPr>
        <w:pStyle w:val="18"/>
        <w:spacing w:after="156" w:afterLines="50"/>
        <w:rPr>
          <w:rFonts w:ascii="仿宋_GB2312" w:eastAsia="仿宋_GB2312" w:hAnsiTheme="minorEastAsia"/>
          <w:szCs w:val="24"/>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以下由上期所填写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rPr>
          <w:rFonts w:ascii="方正仿宋简体" w:eastAsia="方正仿宋简体"/>
          <w:sz w:val="30"/>
          <w:szCs w:val="30"/>
        </w:rPr>
      </w:pPr>
      <w:r>
        <w:rPr>
          <w:rFonts w:ascii="仿宋_GB2312" w:eastAsia="仿宋_GB2312"/>
          <w:sz w:val="32"/>
          <w:szCs w:val="32"/>
        </w:rPr>
        <w:br w:type="page"/>
      </w:r>
      <w:r>
        <w:rPr>
          <w:rFonts w:ascii="方正仿宋简体" w:eastAsia="方正仿宋简体"/>
          <w:sz w:val="30"/>
          <w:szCs w:val="30"/>
        </w:rPr>
        <w:t xml:space="preserve"> </w:t>
      </w:r>
      <w:r>
        <w:rPr>
          <w:rFonts w:hint="eastAsia" w:ascii="仿宋_GB2312" w:eastAsia="仿宋_GB2312"/>
          <w:bCs/>
          <w:sz w:val="28"/>
          <w:szCs w:val="28"/>
        </w:rPr>
        <w:t>附件</w:t>
      </w:r>
      <w:r>
        <w:rPr>
          <w:rFonts w:ascii="仿宋_GB2312" w:eastAsia="仿宋_GB2312"/>
          <w:bCs/>
          <w:sz w:val="28"/>
          <w:szCs w:val="28"/>
        </w:rPr>
        <w:t>4</w:t>
      </w:r>
      <w:r>
        <w:rPr>
          <w:rFonts w:hint="eastAsia" w:ascii="仿宋_GB2312" w:eastAsia="仿宋_GB2312"/>
          <w:bCs/>
          <w:sz w:val="28"/>
          <w:szCs w:val="28"/>
        </w:rPr>
        <w:t>：</w:t>
      </w:r>
    </w:p>
    <w:p>
      <w:pPr>
        <w:spacing w:after="240"/>
        <w:jc w:val="center"/>
        <w:rPr>
          <w:rFonts w:asciiTheme="minorEastAsia" w:hAnsiTheme="minorEastAsia"/>
          <w:b/>
          <w:sz w:val="32"/>
          <w:szCs w:val="32"/>
        </w:rPr>
      </w:pPr>
      <w:r>
        <w:rPr>
          <w:rFonts w:hint="eastAsia" w:asciiTheme="minorEastAsia" w:hAnsiTheme="minorEastAsia"/>
          <w:b/>
          <w:sz w:val="32"/>
          <w:szCs w:val="32"/>
        </w:rPr>
        <w:t>中央</w:t>
      </w:r>
      <w:r>
        <w:rPr>
          <w:rFonts w:asciiTheme="minorEastAsia" w:hAnsiTheme="minorEastAsia"/>
          <w:b/>
          <w:sz w:val="32"/>
          <w:szCs w:val="32"/>
        </w:rPr>
        <w:t>结算公司账户变更/注销告知书</w:t>
      </w:r>
    </w:p>
    <w:tbl>
      <w:tblPr>
        <w:tblStyle w:val="8"/>
        <w:tblW w:w="9133" w:type="dxa"/>
        <w:tblInd w:w="108" w:type="dxa"/>
        <w:tblLayout w:type="autofit"/>
        <w:tblCellMar>
          <w:top w:w="0" w:type="dxa"/>
          <w:left w:w="108" w:type="dxa"/>
          <w:bottom w:w="0" w:type="dxa"/>
          <w:right w:w="108" w:type="dxa"/>
        </w:tblCellMar>
      </w:tblPr>
      <w:tblGrid>
        <w:gridCol w:w="2150"/>
        <w:gridCol w:w="1270"/>
        <w:gridCol w:w="3600"/>
        <w:gridCol w:w="375"/>
        <w:gridCol w:w="1738"/>
      </w:tblGrid>
      <w:tr>
        <w:tblPrEx>
          <w:tblCellMar>
            <w:top w:w="0" w:type="dxa"/>
            <w:left w:w="108" w:type="dxa"/>
            <w:bottom w:w="0" w:type="dxa"/>
            <w:right w:w="108" w:type="dxa"/>
          </w:tblCellMar>
        </w:tblPrEx>
        <w:trPr>
          <w:trHeight w:val="522" w:hRule="atLeast"/>
        </w:trPr>
        <w:tc>
          <w:tcPr>
            <w:tcW w:w="3420" w:type="dxa"/>
            <w:gridSpan w:val="2"/>
            <w:tcBorders>
              <w:top w:val="single" w:color="auto" w:sz="8" w:space="0"/>
              <w:left w:val="single" w:color="auto" w:sz="8" w:space="0"/>
              <w:bottom w:val="single" w:color="auto" w:sz="4" w:space="0"/>
              <w:right w:val="nil"/>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期货公司会员　</w:t>
            </w:r>
          </w:p>
        </w:tc>
        <w:tc>
          <w:tcPr>
            <w:tcW w:w="3975" w:type="dxa"/>
            <w:gridSpan w:val="2"/>
            <w:tcBorders>
              <w:top w:val="single" w:color="auto" w:sz="8" w:space="0"/>
              <w:left w:val="nil"/>
              <w:bottom w:val="single" w:color="auto" w:sz="4" w:space="0"/>
              <w:right w:val="nil"/>
            </w:tcBorders>
            <w:shd w:val="clear" w:color="auto" w:fill="auto"/>
            <w:noWrap/>
            <w:vAlign w:val="center"/>
          </w:tcPr>
          <w:p>
            <w:pPr>
              <w:widowControl/>
              <w:ind w:firstLine="260" w:firstLineChars="100"/>
              <w:jc w:val="left"/>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非期货公司会员</w:t>
            </w:r>
          </w:p>
        </w:tc>
        <w:tc>
          <w:tcPr>
            <w:tcW w:w="1738" w:type="dxa"/>
            <w:tcBorders>
              <w:top w:val="single" w:color="auto" w:sz="8" w:space="0"/>
              <w:left w:val="nil"/>
              <w:bottom w:val="single" w:color="auto" w:sz="4" w:space="0"/>
              <w:right w:val="single" w:color="auto" w:sz="8"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客户</w:t>
            </w:r>
          </w:p>
        </w:tc>
      </w:tr>
      <w:tr>
        <w:tblPrEx>
          <w:tblCellMar>
            <w:top w:w="0" w:type="dxa"/>
            <w:left w:w="108" w:type="dxa"/>
            <w:bottom w:w="0" w:type="dxa"/>
            <w:right w:w="108" w:type="dxa"/>
          </w:tblCellMar>
        </w:tblPrEx>
        <w:trPr>
          <w:trHeight w:val="522" w:hRule="atLeast"/>
        </w:trPr>
        <w:tc>
          <w:tcPr>
            <w:tcW w:w="2150" w:type="dxa"/>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会员号</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会员简称</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客户号</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客户</w:t>
            </w:r>
            <w:r>
              <w:rPr>
                <w:rFonts w:ascii="仿宋" w:hAnsi="仿宋" w:eastAsia="仿宋" w:cs="宋体"/>
                <w:kern w:val="0"/>
                <w:sz w:val="26"/>
                <w:szCs w:val="26"/>
              </w:rPr>
              <w:t>名称</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p>
        </w:tc>
      </w:tr>
      <w:tr>
        <w:tblPrEx>
          <w:tblCellMar>
            <w:top w:w="0" w:type="dxa"/>
            <w:left w:w="108" w:type="dxa"/>
            <w:bottom w:w="0" w:type="dxa"/>
            <w:right w:w="108" w:type="dxa"/>
          </w:tblCellMar>
        </w:tblPrEx>
        <w:trPr>
          <w:trHeight w:val="522" w:hRule="atLeast"/>
        </w:trPr>
        <w:tc>
          <w:tcPr>
            <w:tcW w:w="9133" w:type="dxa"/>
            <w:gridSpan w:val="5"/>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b/>
                <w:bCs/>
                <w:kern w:val="0"/>
                <w:sz w:val="26"/>
                <w:szCs w:val="26"/>
              </w:rPr>
              <w:t>告</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知</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事</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项</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账户变更</w:t>
            </w:r>
            <w:r>
              <w:rPr>
                <w:rFonts w:ascii="仿宋" w:hAnsi="仿宋" w:eastAsia="仿宋" w:cs="宋体"/>
                <w:kern w:val="0"/>
                <w:sz w:val="26"/>
                <w:szCs w:val="26"/>
              </w:rPr>
              <w:t xml:space="preserve">        </w:t>
            </w: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账户注销</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kern w:val="0"/>
                <w:sz w:val="26"/>
                <w:szCs w:val="26"/>
              </w:rPr>
            </w:pPr>
            <w:r>
              <w:rPr>
                <w:rFonts w:hint="eastAsia" w:ascii="仿宋" w:hAnsi="仿宋" w:eastAsia="仿宋" w:cs="宋体"/>
                <w:b/>
                <w:bCs/>
                <w:kern w:val="0"/>
                <w:sz w:val="26"/>
                <w:szCs w:val="26"/>
              </w:rPr>
              <w:t>账</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户</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变</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更</w:t>
            </w:r>
          </w:p>
        </w:tc>
      </w:tr>
      <w:tr>
        <w:tblPrEx>
          <w:tblCellMar>
            <w:top w:w="0" w:type="dxa"/>
            <w:left w:w="108" w:type="dxa"/>
            <w:bottom w:w="0" w:type="dxa"/>
            <w:right w:w="108" w:type="dxa"/>
          </w:tblCellMar>
        </w:tblPrEx>
        <w:trPr>
          <w:trHeight w:val="522" w:hRule="atLeast"/>
        </w:trPr>
        <w:tc>
          <w:tcPr>
            <w:tcW w:w="2150" w:type="dxa"/>
            <w:tcBorders>
              <w:top w:val="nil"/>
              <w:left w:val="single" w:color="auto" w:sz="8" w:space="0"/>
              <w:bottom w:val="single" w:color="auto" w:sz="4" w:space="0"/>
              <w:right w:val="nil"/>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原账户信息：</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新账户信息：</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nil"/>
              <w:right w:val="single" w:color="000000" w:sz="8" w:space="0"/>
            </w:tcBorders>
            <w:shd w:val="clear" w:color="auto" w:fill="auto"/>
            <w:noWrap/>
            <w:vAlign w:val="center"/>
          </w:tcPr>
          <w:p>
            <w:pPr>
              <w:widowControl/>
              <w:jc w:val="center"/>
              <w:rPr>
                <w:rFonts w:ascii="仿宋" w:hAnsi="仿宋" w:eastAsia="仿宋" w:cs="宋体"/>
                <w:b/>
                <w:bCs/>
                <w:kern w:val="0"/>
                <w:sz w:val="26"/>
                <w:szCs w:val="26"/>
              </w:rPr>
            </w:pPr>
            <w:r>
              <w:rPr>
                <w:rFonts w:hint="eastAsia" w:ascii="仿宋" w:hAnsi="仿宋" w:eastAsia="仿宋" w:cs="宋体"/>
                <w:b/>
                <w:bCs/>
                <w:kern w:val="0"/>
                <w:sz w:val="26"/>
                <w:szCs w:val="26"/>
              </w:rPr>
              <w:t>账</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户</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注</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销</w:t>
            </w: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nil"/>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注销账户全称：</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b/>
                <w:bCs/>
                <w:kern w:val="0"/>
                <w:sz w:val="26"/>
                <w:szCs w:val="26"/>
              </w:rPr>
            </w:pPr>
            <w:r>
              <w:rPr>
                <w:rFonts w:hint="eastAsia" w:ascii="仿宋" w:hAnsi="仿宋" w:eastAsia="仿宋" w:cs="宋体"/>
                <w:b/>
                <w:bCs/>
                <w:kern w:val="0"/>
                <w:sz w:val="26"/>
                <w:szCs w:val="26"/>
              </w:rPr>
              <w:t>　</w:t>
            </w:r>
          </w:p>
        </w:tc>
      </w:tr>
      <w:tr>
        <w:tblPrEx>
          <w:tblCellMar>
            <w:top w:w="0" w:type="dxa"/>
            <w:left w:w="108" w:type="dxa"/>
            <w:bottom w:w="0" w:type="dxa"/>
            <w:right w:w="108" w:type="dxa"/>
          </w:tblCellMar>
        </w:tblPrEx>
        <w:trPr>
          <w:trHeight w:val="522" w:hRule="atLeast"/>
        </w:trPr>
        <w:tc>
          <w:tcPr>
            <w:tcW w:w="2150" w:type="dxa"/>
            <w:tcBorders>
              <w:top w:val="nil"/>
              <w:left w:val="single" w:color="auto" w:sz="8" w:space="0"/>
              <w:bottom w:val="nil"/>
              <w:right w:val="nil"/>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注销账户号码：</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5" w:hRule="atLeast"/>
        </w:trPr>
        <w:tc>
          <w:tcPr>
            <w:tcW w:w="2150" w:type="dxa"/>
            <w:tcBorders>
              <w:top w:val="single" w:color="auto" w:sz="4" w:space="0"/>
              <w:left w:val="single" w:color="auto" w:sz="8" w:space="0"/>
              <w:bottom w:val="single" w:color="auto" w:sz="4" w:space="0"/>
              <w:right w:val="nil"/>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注销原因：</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1272" w:hRule="atLeast"/>
        </w:trPr>
        <w:tc>
          <w:tcPr>
            <w:tcW w:w="9133" w:type="dxa"/>
            <w:gridSpan w:val="5"/>
            <w:tcBorders>
              <w:top w:val="single" w:color="auto" w:sz="4" w:space="0"/>
              <w:left w:val="single" w:color="auto" w:sz="4" w:space="0"/>
              <w:right w:val="single" w:color="auto" w:sz="4" w:space="0"/>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会员单位公章：</w:t>
            </w:r>
          </w:p>
        </w:tc>
      </w:tr>
      <w:tr>
        <w:tblPrEx>
          <w:tblCellMar>
            <w:top w:w="0" w:type="dxa"/>
            <w:left w:w="108" w:type="dxa"/>
            <w:bottom w:w="0" w:type="dxa"/>
            <w:right w:w="108" w:type="dxa"/>
          </w:tblCellMar>
        </w:tblPrEx>
        <w:trPr>
          <w:trHeight w:val="921" w:hRule="atLeast"/>
        </w:trPr>
        <w:tc>
          <w:tcPr>
            <w:tcW w:w="2150" w:type="dxa"/>
            <w:tcBorders>
              <w:left w:val="single" w:color="auto" w:sz="4" w:space="0"/>
              <w:bottom w:val="single" w:color="auto" w:sz="4"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经办人：</w:t>
            </w:r>
          </w:p>
        </w:tc>
        <w:tc>
          <w:tcPr>
            <w:tcW w:w="4870" w:type="dxa"/>
            <w:gridSpan w:val="2"/>
            <w:tcBorders>
              <w:left w:val="nil"/>
              <w:bottom w:val="single" w:color="auto" w:sz="4" w:space="0"/>
            </w:tcBorders>
            <w:shd w:val="clear" w:color="auto" w:fill="auto"/>
            <w:noWrap/>
            <w:vAlign w:val="center"/>
          </w:tcPr>
          <w:p>
            <w:pPr>
              <w:widowControl/>
              <w:jc w:val="left"/>
              <w:rPr>
                <w:rFonts w:ascii="仿宋" w:hAnsi="仿宋" w:eastAsia="仿宋" w:cs="宋体"/>
                <w:kern w:val="0"/>
                <w:sz w:val="26"/>
                <w:szCs w:val="26"/>
              </w:rPr>
            </w:pPr>
            <w:r>
              <w:rPr>
                <w:rFonts w:ascii="仿宋" w:hAnsi="仿宋" w:eastAsia="仿宋" w:cs="宋体"/>
                <w:kern w:val="0"/>
                <w:sz w:val="26"/>
                <w:szCs w:val="26"/>
              </w:rPr>
              <w:t xml:space="preserve">       联系方式：</w:t>
            </w:r>
          </w:p>
        </w:tc>
        <w:tc>
          <w:tcPr>
            <w:tcW w:w="2113" w:type="dxa"/>
            <w:gridSpan w:val="2"/>
            <w:tcBorders>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年</w:t>
            </w:r>
            <w:r>
              <w:rPr>
                <w:rFonts w:ascii="仿宋" w:hAnsi="仿宋" w:eastAsia="仿宋" w:cs="宋体"/>
                <w:kern w:val="0"/>
                <w:sz w:val="26"/>
                <w:szCs w:val="26"/>
              </w:rPr>
              <w:t xml:space="preserve">   </w:t>
            </w:r>
            <w:r>
              <w:rPr>
                <w:rFonts w:hint="eastAsia" w:ascii="仿宋" w:hAnsi="仿宋" w:eastAsia="仿宋" w:cs="宋体"/>
                <w:kern w:val="0"/>
                <w:sz w:val="26"/>
                <w:szCs w:val="26"/>
              </w:rPr>
              <w:t>月</w:t>
            </w:r>
            <w:r>
              <w:rPr>
                <w:rFonts w:ascii="仿宋" w:hAnsi="仿宋" w:eastAsia="仿宋" w:cs="宋体"/>
                <w:kern w:val="0"/>
                <w:sz w:val="26"/>
                <w:szCs w:val="26"/>
              </w:rPr>
              <w:t xml:space="preserve">   </w:t>
            </w:r>
            <w:r>
              <w:rPr>
                <w:rFonts w:hint="eastAsia" w:ascii="仿宋" w:hAnsi="仿宋" w:eastAsia="仿宋" w:cs="宋体"/>
                <w:kern w:val="0"/>
                <w:sz w:val="26"/>
                <w:szCs w:val="26"/>
              </w:rPr>
              <w:t>日</w:t>
            </w:r>
          </w:p>
        </w:tc>
      </w:tr>
    </w:tbl>
    <w:p>
      <w:pPr>
        <w:pStyle w:val="18"/>
        <w:spacing w:after="156"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以下由上期所填写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rPr>
          <w:rFonts w:ascii="仿宋_GB2312" w:hAnsi="宋体" w:eastAsia="仿宋_GB2312"/>
          <w:sz w:val="24"/>
          <w:szCs w:val="24"/>
        </w:rPr>
      </w:pPr>
      <w:r>
        <w:rPr>
          <w:rFonts w:ascii="仿宋_GB2312" w:hAnsi="宋体" w:eastAsia="仿宋_GB2312"/>
          <w:sz w:val="24"/>
          <w:szCs w:val="24"/>
        </w:rPr>
        <w:br w:type="page"/>
      </w:r>
      <w:r>
        <w:rPr>
          <w:rFonts w:hint="eastAsia" w:ascii="仿宋_GB2312" w:eastAsia="仿宋_GB2312"/>
          <w:bCs/>
          <w:sz w:val="28"/>
          <w:szCs w:val="28"/>
        </w:rPr>
        <w:t>附件</w:t>
      </w:r>
      <w:r>
        <w:rPr>
          <w:rFonts w:ascii="仿宋_GB2312" w:eastAsia="仿宋_GB2312"/>
          <w:bCs/>
          <w:sz w:val="28"/>
          <w:szCs w:val="28"/>
        </w:rPr>
        <w:t>5</w:t>
      </w:r>
      <w:r>
        <w:rPr>
          <w:rFonts w:hint="eastAsia" w:ascii="仿宋_GB2312" w:eastAsia="仿宋_GB2312"/>
          <w:bCs/>
          <w:sz w:val="28"/>
          <w:szCs w:val="28"/>
        </w:rPr>
        <w:t>：</w:t>
      </w:r>
    </w:p>
    <w:p>
      <w:pPr>
        <w:jc w:val="center"/>
        <w:rPr>
          <w:rFonts w:ascii="仿宋_GB2312" w:eastAsia="仿宋_GB2312"/>
          <w:b/>
          <w:sz w:val="32"/>
          <w:szCs w:val="32"/>
        </w:rPr>
      </w:pPr>
      <w:r>
        <w:rPr>
          <w:rFonts w:hint="eastAsia" w:ascii="仿宋_GB2312" w:eastAsia="仿宋_GB2312"/>
          <w:b/>
          <w:sz w:val="32"/>
          <w:szCs w:val="32"/>
        </w:rPr>
        <w:t>上海期货</w:t>
      </w:r>
      <w:r>
        <w:rPr>
          <w:rFonts w:ascii="仿宋_GB2312" w:eastAsia="仿宋_GB2312"/>
          <w:b/>
          <w:sz w:val="32"/>
          <w:szCs w:val="32"/>
        </w:rPr>
        <w:t>交易所国债交存/</w:t>
      </w:r>
      <w:r>
        <w:rPr>
          <w:rFonts w:hint="eastAsia" w:ascii="仿宋_GB2312" w:eastAsia="仿宋_GB2312"/>
          <w:b/>
          <w:sz w:val="32"/>
          <w:szCs w:val="32"/>
        </w:rPr>
        <w:t>提取应急</w:t>
      </w:r>
      <w:r>
        <w:rPr>
          <w:rFonts w:ascii="仿宋_GB2312" w:eastAsia="仿宋_GB2312"/>
          <w:b/>
          <w:sz w:val="32"/>
          <w:szCs w:val="32"/>
        </w:rPr>
        <w:t>申请表</w:t>
      </w:r>
    </w:p>
    <w:p>
      <w:pPr>
        <w:spacing w:before="240"/>
        <w:rPr>
          <w:rFonts w:ascii="仿宋_GB2312" w:hAnsi="宋体" w:eastAsia="仿宋_GB2312"/>
          <w:sz w:val="24"/>
          <w:szCs w:val="24"/>
        </w:rPr>
      </w:pPr>
      <w:r>
        <w:rPr>
          <w:rFonts w:hint="eastAsia" w:ascii="仿宋_GB2312" w:hAnsi="宋体" w:eastAsia="仿宋_GB2312"/>
          <w:sz w:val="24"/>
          <w:szCs w:val="24"/>
        </w:rPr>
        <w:t>上海</w:t>
      </w:r>
      <w:r>
        <w:rPr>
          <w:rFonts w:ascii="仿宋_GB2312" w:hAnsi="宋体" w:eastAsia="仿宋_GB2312"/>
          <w:sz w:val="24"/>
          <w:szCs w:val="24"/>
        </w:rPr>
        <w:t>期货交易</w:t>
      </w:r>
      <w:r>
        <w:rPr>
          <w:rFonts w:hint="eastAsia" w:ascii="仿宋_GB2312" w:hAnsi="宋体" w:eastAsia="仿宋_GB2312"/>
          <w:sz w:val="24"/>
          <w:szCs w:val="24"/>
        </w:rPr>
        <w:t>所</w:t>
      </w:r>
      <w:r>
        <w:rPr>
          <w:rFonts w:ascii="仿宋_GB2312" w:hAnsi="宋体" w:eastAsia="仿宋_GB2312"/>
          <w:sz w:val="24"/>
          <w:szCs w:val="24"/>
        </w:rPr>
        <w:t>：</w:t>
      </w:r>
    </w:p>
    <w:p>
      <w:pPr>
        <w:spacing w:after="240"/>
        <w:rPr>
          <w:rFonts w:ascii="仿宋_GB2312" w:hAnsi="宋体" w:eastAsia="仿宋_GB2312"/>
          <w:sz w:val="24"/>
          <w:szCs w:val="24"/>
        </w:rPr>
      </w:pPr>
      <w:r>
        <w:rPr>
          <w:rFonts w:ascii="仿宋_GB2312" w:hAnsi="宋体" w:eastAsia="仿宋_GB2312"/>
          <w:sz w:val="24"/>
          <w:szCs w:val="24"/>
        </w:rPr>
        <w:t xml:space="preserve">    由于我单位</w:t>
      </w:r>
      <w:r>
        <w:rPr>
          <w:rFonts w:hint="eastAsia" w:ascii="仿宋_GB2312" w:hAnsi="宋体" w:eastAsia="仿宋_GB2312"/>
          <w:sz w:val="24"/>
          <w:szCs w:val="24"/>
        </w:rPr>
        <w:t>不能</w:t>
      </w:r>
      <w:r>
        <w:rPr>
          <w:rFonts w:ascii="仿宋_GB2312" w:hAnsi="宋体" w:eastAsia="仿宋_GB2312"/>
          <w:sz w:val="24"/>
          <w:szCs w:val="24"/>
        </w:rPr>
        <w:t>通过会员</w:t>
      </w:r>
      <w:r>
        <w:rPr>
          <w:rFonts w:hint="eastAsia" w:ascii="仿宋_GB2312" w:hAnsi="宋体" w:eastAsia="仿宋_GB2312"/>
          <w:sz w:val="24"/>
          <w:szCs w:val="24"/>
        </w:rPr>
        <w:t>服务</w:t>
      </w:r>
      <w:r>
        <w:rPr>
          <w:rFonts w:ascii="仿宋_GB2312" w:hAnsi="宋体" w:eastAsia="仿宋_GB2312"/>
          <w:sz w:val="24"/>
          <w:szCs w:val="24"/>
        </w:rPr>
        <w:t>系统</w:t>
      </w:r>
      <w:r>
        <w:rPr>
          <w:rFonts w:hint="eastAsia" w:ascii="仿宋_GB2312" w:hAnsi="宋体" w:eastAsia="仿宋_GB2312"/>
          <w:sz w:val="24"/>
          <w:szCs w:val="24"/>
        </w:rPr>
        <w:t>正常</w:t>
      </w:r>
      <w:r>
        <w:rPr>
          <w:rFonts w:ascii="仿宋_GB2312" w:hAnsi="宋体" w:eastAsia="仿宋_GB2312"/>
          <w:sz w:val="24"/>
          <w:szCs w:val="24"/>
        </w:rPr>
        <w:t>办理</w:t>
      </w:r>
      <w:r>
        <w:rPr>
          <w:rFonts w:hint="eastAsia" w:ascii="仿宋_GB2312" w:hAnsi="宋体" w:eastAsia="仿宋_GB2312"/>
          <w:sz w:val="24"/>
          <w:szCs w:val="24"/>
        </w:rPr>
        <w:t>国债</w:t>
      </w:r>
      <w:r>
        <w:rPr>
          <w:rFonts w:ascii="仿宋_GB2312" w:hAnsi="宋体" w:eastAsia="仿宋_GB2312"/>
          <w:sz w:val="24"/>
          <w:szCs w:val="24"/>
        </w:rPr>
        <w:t>作为保证金</w:t>
      </w:r>
      <w:r>
        <w:rPr>
          <w:rFonts w:hint="eastAsia" w:ascii="仿宋_GB2312" w:hAnsi="宋体" w:eastAsia="仿宋_GB2312"/>
          <w:sz w:val="24"/>
          <w:szCs w:val="24"/>
        </w:rPr>
        <w:t>相关业务，故</w:t>
      </w:r>
      <w:r>
        <w:rPr>
          <w:rFonts w:ascii="仿宋_GB2312" w:hAnsi="宋体" w:eastAsia="仿宋_GB2312"/>
          <w:sz w:val="24"/>
          <w:szCs w:val="24"/>
        </w:rPr>
        <w:t>申请通过应急</w:t>
      </w:r>
      <w:r>
        <w:rPr>
          <w:rFonts w:hint="eastAsia" w:ascii="仿宋_GB2312" w:hAnsi="宋体" w:eastAsia="仿宋_GB2312"/>
          <w:sz w:val="24"/>
          <w:szCs w:val="24"/>
        </w:rPr>
        <w:t>方式</w:t>
      </w:r>
      <w:r>
        <w:rPr>
          <w:rFonts w:ascii="仿宋_GB2312" w:hAnsi="宋体" w:eastAsia="仿宋_GB2312"/>
          <w:sz w:val="24"/>
          <w:szCs w:val="24"/>
        </w:rPr>
        <w:t>进行</w:t>
      </w:r>
      <w:r>
        <w:rPr>
          <w:rFonts w:hint="eastAsia" w:ascii="仿宋_GB2312" w:hAnsi="宋体" w:eastAsia="仿宋_GB2312"/>
          <w:sz w:val="24"/>
          <w:szCs w:val="24"/>
        </w:rPr>
        <w:t>办理。</w:t>
      </w:r>
      <w:r>
        <w:rPr>
          <w:rFonts w:ascii="仿宋_GB2312" w:hAnsi="宋体" w:eastAsia="仿宋_GB2312"/>
          <w:sz w:val="24"/>
          <w:szCs w:val="24"/>
        </w:rPr>
        <w:t>我单位</w:t>
      </w:r>
      <w:r>
        <w:rPr>
          <w:rFonts w:hint="eastAsia" w:ascii="仿宋_GB2312" w:hAnsi="宋体" w:eastAsia="仿宋_GB2312"/>
          <w:sz w:val="24"/>
          <w:szCs w:val="24"/>
        </w:rPr>
        <w:t>保证所</w:t>
      </w:r>
      <w:r>
        <w:rPr>
          <w:rFonts w:ascii="仿宋_GB2312" w:hAnsi="宋体" w:eastAsia="仿宋_GB2312"/>
          <w:sz w:val="24"/>
          <w:szCs w:val="24"/>
        </w:rPr>
        <w:t>发送的</w:t>
      </w:r>
      <w:r>
        <w:rPr>
          <w:rFonts w:hint="eastAsia" w:ascii="仿宋_GB2312" w:hAnsi="宋体" w:eastAsia="仿宋_GB2312"/>
          <w:sz w:val="24"/>
          <w:szCs w:val="24"/>
        </w:rPr>
        <w:t>应急</w:t>
      </w:r>
      <w:r>
        <w:rPr>
          <w:rFonts w:ascii="仿宋_GB2312" w:hAnsi="宋体" w:eastAsia="仿宋_GB2312"/>
          <w:sz w:val="24"/>
          <w:szCs w:val="24"/>
        </w:rPr>
        <w:t>申请表</w:t>
      </w:r>
      <w:r>
        <w:rPr>
          <w:rFonts w:hint="eastAsia" w:ascii="仿宋_GB2312" w:hAnsi="宋体" w:eastAsia="仿宋_GB2312"/>
          <w:sz w:val="24"/>
          <w:szCs w:val="24"/>
        </w:rPr>
        <w:t>内容</w:t>
      </w:r>
      <w:r>
        <w:rPr>
          <w:rFonts w:ascii="仿宋_GB2312" w:hAnsi="宋体" w:eastAsia="仿宋_GB2312"/>
          <w:sz w:val="24"/>
          <w:szCs w:val="24"/>
        </w:rPr>
        <w:t>真实</w:t>
      </w:r>
      <w:r>
        <w:rPr>
          <w:rFonts w:hint="eastAsia" w:ascii="仿宋_GB2312" w:hAnsi="宋体" w:eastAsia="仿宋_GB2312"/>
          <w:sz w:val="24"/>
          <w:szCs w:val="24"/>
        </w:rPr>
        <w:t>、</w:t>
      </w:r>
      <w:r>
        <w:rPr>
          <w:rFonts w:ascii="仿宋_GB2312" w:hAnsi="宋体" w:eastAsia="仿宋_GB2312"/>
          <w:sz w:val="24"/>
          <w:szCs w:val="24"/>
        </w:rPr>
        <w:t>准确、</w:t>
      </w:r>
      <w:r>
        <w:rPr>
          <w:rFonts w:hint="eastAsia" w:ascii="仿宋_GB2312" w:hAnsi="宋体" w:eastAsia="仿宋_GB2312"/>
          <w:sz w:val="24"/>
          <w:szCs w:val="24"/>
        </w:rPr>
        <w:t>完整</w:t>
      </w:r>
      <w:r>
        <w:rPr>
          <w:rFonts w:ascii="仿宋_GB2312" w:hAnsi="宋体" w:eastAsia="仿宋_GB2312"/>
          <w:sz w:val="24"/>
          <w:szCs w:val="24"/>
        </w:rPr>
        <w:t>、</w:t>
      </w:r>
      <w:r>
        <w:rPr>
          <w:rFonts w:hint="eastAsia" w:ascii="仿宋_GB2312" w:hAnsi="宋体" w:eastAsia="仿宋_GB2312"/>
          <w:sz w:val="24"/>
          <w:szCs w:val="24"/>
        </w:rPr>
        <w:t>有效</w:t>
      </w:r>
      <w:r>
        <w:rPr>
          <w:rFonts w:ascii="仿宋_GB2312" w:hAnsi="宋体" w:eastAsia="仿宋_GB2312"/>
          <w:sz w:val="24"/>
          <w:szCs w:val="24"/>
        </w:rPr>
        <w:t>。</w:t>
      </w:r>
    </w:p>
    <w:tbl>
      <w:tblPr>
        <w:tblStyle w:val="8"/>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5"/>
        <w:gridCol w:w="567"/>
        <w:gridCol w:w="1269"/>
        <w:gridCol w:w="715"/>
        <w:gridCol w:w="567"/>
        <w:gridCol w:w="415"/>
        <w:gridCol w:w="848"/>
        <w:gridCol w:w="155"/>
        <w:gridCol w:w="1275"/>
        <w:gridCol w:w="266"/>
        <w:gridCol w:w="1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12"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申请日期</w:t>
            </w:r>
          </w:p>
        </w:tc>
        <w:tc>
          <w:tcPr>
            <w:tcW w:w="1836" w:type="dxa"/>
            <w:gridSpan w:val="2"/>
            <w:tcBorders>
              <w:top w:val="single" w:color="auto" w:sz="12"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282"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会员号</w:t>
            </w:r>
          </w:p>
        </w:tc>
        <w:tc>
          <w:tcPr>
            <w:tcW w:w="1263" w:type="dxa"/>
            <w:gridSpan w:val="2"/>
            <w:tcBorders>
              <w:top w:val="single" w:color="auto" w:sz="12"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696" w:type="dxa"/>
            <w:gridSpan w:val="3"/>
            <w:tcBorders>
              <w:top w:val="single" w:color="auto" w:sz="12"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会员简称</w:t>
            </w:r>
          </w:p>
        </w:tc>
        <w:tc>
          <w:tcPr>
            <w:tcW w:w="1700" w:type="dxa"/>
            <w:tcBorders>
              <w:top w:val="single" w:color="auto" w:sz="12" w:space="0"/>
              <w:left w:val="single" w:color="auto" w:sz="4" w:space="0"/>
              <w:bottom w:val="single" w:color="auto" w:sz="4"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经办人</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联系电话</w:t>
            </w:r>
          </w:p>
        </w:tc>
        <w:tc>
          <w:tcPr>
            <w:tcW w:w="4659" w:type="dxa"/>
            <w:gridSpan w:val="6"/>
            <w:tcBorders>
              <w:top w:val="single" w:color="auto" w:sz="4" w:space="0"/>
              <w:left w:val="single" w:color="auto" w:sz="4" w:space="0"/>
              <w:bottom w:val="single" w:color="auto" w:sz="4"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63" w:type="dxa"/>
            <w:gridSpan w:val="5"/>
            <w:tcBorders>
              <w:top w:val="single" w:color="auto" w:sz="4" w:space="0"/>
              <w:bottom w:val="single" w:color="auto" w:sz="6" w:space="0"/>
              <w:right w:val="single" w:color="auto" w:sz="4" w:space="0"/>
            </w:tcBorders>
            <w:vAlign w:val="center"/>
          </w:tcPr>
          <w:p>
            <w:pPr>
              <w:jc w:val="center"/>
              <w:rPr>
                <w:rFonts w:ascii="仿宋_GB2312" w:hAnsi="宋体" w:eastAsia="仿宋_GB2312"/>
                <w:b/>
                <w:sz w:val="24"/>
                <w:szCs w:val="24"/>
              </w:rPr>
            </w:pPr>
            <w:r>
              <w:rPr>
                <w:rFonts w:hint="eastAsia" w:ascii="仿宋" w:hAnsi="仿宋" w:eastAsia="仿宋" w:cs="宋体"/>
                <w:kern w:val="0"/>
                <w:sz w:val="24"/>
                <w:szCs w:val="28"/>
              </w:rPr>
              <w:t>□交存</w:t>
            </w:r>
            <w:r>
              <w:rPr>
                <w:rFonts w:ascii="仿宋" w:hAnsi="仿宋" w:eastAsia="仿宋" w:cs="宋体"/>
                <w:kern w:val="0"/>
                <w:sz w:val="24"/>
                <w:szCs w:val="28"/>
              </w:rPr>
              <w:t>申请</w:t>
            </w:r>
          </w:p>
        </w:tc>
        <w:tc>
          <w:tcPr>
            <w:tcW w:w="4659" w:type="dxa"/>
            <w:gridSpan w:val="6"/>
            <w:tcBorders>
              <w:top w:val="single" w:color="auto" w:sz="4" w:space="0"/>
              <w:left w:val="single" w:color="auto" w:sz="4" w:space="0"/>
              <w:bottom w:val="single" w:color="auto" w:sz="6" w:space="0"/>
            </w:tcBorders>
            <w:vAlign w:val="center"/>
          </w:tcPr>
          <w:p>
            <w:pPr>
              <w:jc w:val="center"/>
              <w:rPr>
                <w:rFonts w:ascii="仿宋_GB2312" w:hAnsi="宋体" w:eastAsia="仿宋_GB2312"/>
                <w:b/>
                <w:sz w:val="24"/>
                <w:szCs w:val="24"/>
              </w:rPr>
            </w:pPr>
            <w:r>
              <w:rPr>
                <w:rFonts w:hint="eastAsia" w:ascii="仿宋" w:hAnsi="仿宋" w:eastAsia="仿宋" w:cs="宋体"/>
                <w:kern w:val="0"/>
                <w:sz w:val="24"/>
                <w:szCs w:val="28"/>
              </w:rPr>
              <w:t>□提取</w:t>
            </w:r>
            <w:r>
              <w:rPr>
                <w:rFonts w:ascii="仿宋" w:hAnsi="仿宋" w:eastAsia="仿宋" w:cs="宋体"/>
                <w:kern w:val="0"/>
                <w:sz w:val="24"/>
                <w:szCs w:val="28"/>
              </w:rPr>
              <w:t>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trPr>
        <w:tc>
          <w:tcPr>
            <w:tcW w:w="9322" w:type="dxa"/>
            <w:gridSpan w:val="11"/>
            <w:tcBorders>
              <w:top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期货</w:t>
            </w:r>
            <w:r>
              <w:rPr>
                <w:rFonts w:ascii="仿宋_GB2312" w:hAnsi="宋体" w:eastAsia="仿宋_GB2312"/>
                <w:b/>
                <w:sz w:val="24"/>
                <w:szCs w:val="24"/>
              </w:rPr>
              <w:t>公司会员填写：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期货客户号</w:t>
            </w:r>
          </w:p>
        </w:tc>
        <w:tc>
          <w:tcPr>
            <w:tcW w:w="1836" w:type="dxa"/>
            <w:gridSpan w:val="2"/>
            <w:vAlign w:val="center"/>
          </w:tcPr>
          <w:p>
            <w:pPr>
              <w:rPr>
                <w:rFonts w:ascii="仿宋_GB2312" w:hAnsi="宋体" w:eastAsia="仿宋_GB2312"/>
                <w:sz w:val="24"/>
                <w:szCs w:val="24"/>
              </w:rPr>
            </w:pPr>
          </w:p>
        </w:tc>
        <w:tc>
          <w:tcPr>
            <w:tcW w:w="1697" w:type="dxa"/>
            <w:gridSpan w:val="3"/>
            <w:vAlign w:val="center"/>
          </w:tcPr>
          <w:p>
            <w:pPr>
              <w:jc w:val="center"/>
              <w:rPr>
                <w:rFonts w:ascii="仿宋_GB2312" w:hAnsi="宋体" w:eastAsia="仿宋_GB2312"/>
                <w:sz w:val="24"/>
                <w:szCs w:val="24"/>
              </w:rPr>
            </w:pPr>
            <w:r>
              <w:rPr>
                <w:rFonts w:hint="eastAsia" w:ascii="仿宋_GB2312" w:hAnsi="宋体" w:eastAsia="仿宋_GB2312"/>
                <w:sz w:val="24"/>
                <w:szCs w:val="24"/>
              </w:rPr>
              <w:t>期货客户名称</w:t>
            </w:r>
          </w:p>
        </w:tc>
        <w:tc>
          <w:tcPr>
            <w:tcW w:w="4244" w:type="dxa"/>
            <w:gridSpan w:val="5"/>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322" w:type="dxa"/>
            <w:gridSpan w:val="11"/>
            <w:vAlign w:val="center"/>
          </w:tcPr>
          <w:p>
            <w:pPr>
              <w:jc w:val="center"/>
              <w:rPr>
                <w:rFonts w:ascii="仿宋_GB2312" w:hAnsi="宋体" w:eastAsia="仿宋_GB2312"/>
                <w:sz w:val="24"/>
                <w:szCs w:val="24"/>
              </w:rPr>
            </w:pPr>
            <w:r>
              <w:rPr>
                <w:rFonts w:hint="eastAsia" w:ascii="仿宋_GB2312" w:hAnsi="宋体" w:eastAsia="仿宋_GB2312"/>
                <w:b/>
                <w:sz w:val="24"/>
                <w:szCs w:val="24"/>
              </w:rPr>
              <w:t>非期货</w:t>
            </w:r>
            <w:r>
              <w:rPr>
                <w:rFonts w:ascii="仿宋_GB2312" w:hAnsi="宋体" w:eastAsia="仿宋_GB2312"/>
                <w:b/>
                <w:sz w:val="24"/>
                <w:szCs w:val="24"/>
              </w:rPr>
              <w:t>公司会员填写：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vAlign w:val="center"/>
          </w:tcPr>
          <w:p>
            <w:pPr>
              <w:jc w:val="center"/>
              <w:rPr>
                <w:rFonts w:ascii="仿宋_GB2312" w:hAnsi="宋体" w:eastAsia="仿宋_GB2312"/>
                <w:sz w:val="24"/>
                <w:szCs w:val="24"/>
              </w:rPr>
            </w:pPr>
            <w:r>
              <w:rPr>
                <w:rFonts w:hint="eastAsia" w:ascii="仿宋_GB2312" w:hAnsi="宋体" w:eastAsia="仿宋_GB2312"/>
                <w:sz w:val="24"/>
                <w:szCs w:val="24"/>
              </w:rPr>
              <w:t>交易</w:t>
            </w:r>
            <w:r>
              <w:rPr>
                <w:rFonts w:ascii="仿宋_GB2312" w:hAnsi="宋体" w:eastAsia="仿宋_GB2312"/>
                <w:sz w:val="24"/>
                <w:szCs w:val="24"/>
              </w:rPr>
              <w:t>编码</w:t>
            </w:r>
          </w:p>
        </w:tc>
        <w:tc>
          <w:tcPr>
            <w:tcW w:w="1836" w:type="dxa"/>
            <w:gridSpan w:val="2"/>
            <w:vAlign w:val="center"/>
          </w:tcPr>
          <w:p>
            <w:pPr>
              <w:rPr>
                <w:rFonts w:ascii="仿宋_GB2312" w:hAnsi="宋体" w:eastAsia="仿宋_GB2312"/>
                <w:sz w:val="24"/>
                <w:szCs w:val="24"/>
              </w:rPr>
            </w:pPr>
          </w:p>
        </w:tc>
        <w:tc>
          <w:tcPr>
            <w:tcW w:w="1697" w:type="dxa"/>
            <w:gridSpan w:val="3"/>
            <w:vAlign w:val="center"/>
          </w:tcPr>
          <w:p>
            <w:pPr>
              <w:jc w:val="center"/>
              <w:rPr>
                <w:rFonts w:ascii="仿宋_GB2312" w:hAnsi="宋体" w:eastAsia="仿宋_GB2312"/>
                <w:sz w:val="24"/>
                <w:szCs w:val="24"/>
              </w:rPr>
            </w:pPr>
            <w:r>
              <w:rPr>
                <w:rFonts w:hint="eastAsia" w:ascii="仿宋_GB2312" w:hAnsi="宋体" w:eastAsia="仿宋_GB2312"/>
                <w:sz w:val="24"/>
                <w:szCs w:val="24"/>
              </w:rPr>
              <w:t>会员</w:t>
            </w:r>
            <w:r>
              <w:rPr>
                <w:rFonts w:ascii="仿宋_GB2312" w:hAnsi="宋体" w:eastAsia="仿宋_GB2312"/>
                <w:sz w:val="24"/>
                <w:szCs w:val="24"/>
              </w:rPr>
              <w:t>全称</w:t>
            </w:r>
          </w:p>
        </w:tc>
        <w:tc>
          <w:tcPr>
            <w:tcW w:w="4244" w:type="dxa"/>
            <w:gridSpan w:val="5"/>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trPr>
        <w:tc>
          <w:tcPr>
            <w:tcW w:w="9322" w:type="dxa"/>
            <w:gridSpan w:val="11"/>
            <w:vAlign w:val="center"/>
          </w:tcPr>
          <w:p>
            <w:pPr>
              <w:jc w:val="center"/>
              <w:rPr>
                <w:rFonts w:ascii="仿宋_GB2312" w:hAnsi="宋体" w:eastAsia="仿宋_GB2312"/>
                <w:b/>
                <w:sz w:val="24"/>
                <w:szCs w:val="24"/>
              </w:rPr>
            </w:pPr>
            <w:r>
              <w:rPr>
                <w:rFonts w:hint="eastAsia" w:ascii="仿宋_GB2312" w:hAnsi="宋体" w:eastAsia="仿宋_GB2312"/>
                <w:b/>
                <w:sz w:val="24"/>
                <w:szCs w:val="24"/>
              </w:rPr>
              <w:t>托管机构</w:t>
            </w:r>
            <w:r>
              <w:rPr>
                <w:rFonts w:ascii="仿宋_GB2312" w:hAnsi="宋体" w:eastAsia="仿宋_GB2312"/>
                <w:b/>
                <w:sz w:val="24"/>
                <w:szCs w:val="24"/>
              </w:rPr>
              <w:t>账户信息：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托管机构</w:t>
            </w:r>
          </w:p>
        </w:tc>
        <w:tc>
          <w:tcPr>
            <w:tcW w:w="7777" w:type="dxa"/>
            <w:gridSpan w:val="10"/>
            <w:vAlign w:val="center"/>
          </w:tcPr>
          <w:p>
            <w:pPr>
              <w:jc w:val="left"/>
              <w:rPr>
                <w:rFonts w:ascii="仿宋_GB2312" w:hAnsi="宋体" w:eastAsia="仿宋_GB2312"/>
                <w:b/>
                <w:bCs/>
                <w:sz w:val="24"/>
                <w:szCs w:val="24"/>
              </w:rPr>
            </w:pPr>
            <w:r>
              <w:rPr>
                <w:rFonts w:hint="eastAsia" w:ascii="仿宋_GB2312" w:hAnsi="宋体" w:eastAsia="仿宋_GB2312"/>
                <w:b/>
                <w:bCs/>
                <w:sz w:val="24"/>
                <w:szCs w:val="24"/>
              </w:rPr>
              <w:t>中央结算公司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4" w:space="0"/>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账户全称</w:t>
            </w:r>
          </w:p>
        </w:tc>
        <w:tc>
          <w:tcPr>
            <w:tcW w:w="7777" w:type="dxa"/>
            <w:gridSpan w:val="10"/>
            <w:tcBorders>
              <w:bottom w:val="single" w:color="auto" w:sz="4"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4" w:space="0"/>
              <w:bottom w:val="single" w:color="auto" w:sz="12"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账户号码</w:t>
            </w:r>
          </w:p>
        </w:tc>
        <w:tc>
          <w:tcPr>
            <w:tcW w:w="7777" w:type="dxa"/>
            <w:gridSpan w:val="10"/>
            <w:tcBorders>
              <w:top w:val="single" w:color="auto" w:sz="4" w:space="0"/>
              <w:bottom w:val="single" w:color="auto" w:sz="12"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trPr>
        <w:tc>
          <w:tcPr>
            <w:tcW w:w="2112" w:type="dxa"/>
            <w:gridSpan w:val="2"/>
            <w:tcBorders>
              <w:top w:val="single" w:color="auto" w:sz="12"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国债全称</w:t>
            </w:r>
          </w:p>
        </w:tc>
        <w:tc>
          <w:tcPr>
            <w:tcW w:w="1984" w:type="dxa"/>
            <w:gridSpan w:val="2"/>
            <w:tcBorders>
              <w:top w:val="single" w:color="auto" w:sz="12"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国债代码</w:t>
            </w:r>
          </w:p>
        </w:tc>
        <w:tc>
          <w:tcPr>
            <w:tcW w:w="1985" w:type="dxa"/>
            <w:gridSpan w:val="4"/>
            <w:tcBorders>
              <w:top w:val="single" w:color="auto" w:sz="12" w:space="0"/>
              <w:bottom w:val="single" w:color="auto" w:sz="6" w:space="0"/>
              <w:right w:val="single" w:color="auto" w:sz="4"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面额</w:t>
            </w:r>
          </w:p>
          <w:p>
            <w:pPr>
              <w:jc w:val="center"/>
              <w:rPr>
                <w:rFonts w:ascii="仿宋_GB2312" w:hAnsi="宋体" w:eastAsia="仿宋_GB2312"/>
                <w:b/>
                <w:sz w:val="24"/>
                <w:szCs w:val="24"/>
              </w:rPr>
            </w:pPr>
            <w:r>
              <w:rPr>
                <w:rFonts w:hint="eastAsia" w:ascii="仿宋_GB2312" w:hAnsi="宋体" w:eastAsia="仿宋_GB2312"/>
                <w:b/>
                <w:sz w:val="24"/>
                <w:szCs w:val="24"/>
              </w:rPr>
              <w:t>（单位：万元）</w:t>
            </w:r>
          </w:p>
        </w:tc>
        <w:tc>
          <w:tcPr>
            <w:tcW w:w="1275" w:type="dxa"/>
            <w:tcBorders>
              <w:top w:val="single" w:color="auto" w:sz="12" w:space="0"/>
              <w:left w:val="single" w:color="auto" w:sz="4"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到期日</w:t>
            </w:r>
          </w:p>
        </w:tc>
        <w:tc>
          <w:tcPr>
            <w:tcW w:w="1966" w:type="dxa"/>
            <w:gridSpan w:val="2"/>
            <w:tcBorders>
              <w:top w:val="single" w:color="auto" w:sz="12" w:space="0"/>
              <w:left w:val="single" w:color="auto" w:sz="4"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中债登</w:t>
            </w:r>
            <w:r>
              <w:rPr>
                <w:rFonts w:ascii="仿宋_GB2312" w:hAnsi="宋体" w:eastAsia="仿宋_GB2312"/>
                <w:b/>
                <w:sz w:val="24"/>
                <w:szCs w:val="24"/>
              </w:rPr>
              <w:t>系统指令编号（</w:t>
            </w:r>
            <w:r>
              <w:rPr>
                <w:rFonts w:hint="eastAsia" w:ascii="仿宋_GB2312" w:hAnsi="宋体" w:eastAsia="仿宋_GB2312"/>
                <w:b/>
                <w:sz w:val="24"/>
                <w:szCs w:val="24"/>
              </w:rPr>
              <w:t>若有</w:t>
            </w:r>
            <w:r>
              <w:rPr>
                <w:rFonts w:ascii="仿宋_GB2312" w:hAnsi="宋体" w:eastAsia="仿宋_GB2312"/>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12" w:type="dxa"/>
            <w:gridSpan w:val="2"/>
            <w:tcBorders>
              <w:top w:val="single" w:color="auto" w:sz="6" w:space="0"/>
              <w:bottom w:val="single" w:color="auto" w:sz="6" w:space="0"/>
            </w:tcBorders>
            <w:vAlign w:val="center"/>
          </w:tcPr>
          <w:p>
            <w:pPr>
              <w:rPr>
                <w:rFonts w:ascii="仿宋_GB2312" w:hAnsi="宋体" w:eastAsia="仿宋_GB2312"/>
                <w:sz w:val="24"/>
                <w:szCs w:val="24"/>
              </w:rPr>
            </w:pPr>
            <w:r>
              <w:rPr>
                <w:rFonts w:hint="eastAsia" w:ascii="仿宋_GB2312" w:hAnsi="宋体" w:eastAsia="仿宋_GB2312"/>
                <w:szCs w:val="24"/>
              </w:rPr>
              <w:t>(可自行添加行)</w:t>
            </w:r>
          </w:p>
        </w:tc>
        <w:tc>
          <w:tcPr>
            <w:tcW w:w="1984" w:type="dxa"/>
            <w:gridSpan w:val="2"/>
            <w:tcBorders>
              <w:top w:val="single" w:color="auto" w:sz="6" w:space="0"/>
              <w:bottom w:val="single" w:color="auto" w:sz="6" w:space="0"/>
            </w:tcBorders>
            <w:vAlign w:val="center"/>
          </w:tcPr>
          <w:p>
            <w:pPr>
              <w:jc w:val="center"/>
              <w:rPr>
                <w:rFonts w:ascii="仿宋_GB2312" w:hAnsi="宋体" w:eastAsia="仿宋_GB2312"/>
                <w:sz w:val="24"/>
                <w:szCs w:val="24"/>
              </w:rPr>
            </w:pPr>
          </w:p>
        </w:tc>
        <w:tc>
          <w:tcPr>
            <w:tcW w:w="1985" w:type="dxa"/>
            <w:gridSpan w:val="4"/>
            <w:tcBorders>
              <w:top w:val="single" w:color="auto" w:sz="6" w:space="0"/>
              <w:bottom w:val="single" w:color="auto" w:sz="6" w:space="0"/>
              <w:right w:val="single" w:color="auto" w:sz="4" w:space="0"/>
            </w:tcBorders>
            <w:vAlign w:val="center"/>
          </w:tcPr>
          <w:p>
            <w:pPr>
              <w:rPr>
                <w:rFonts w:ascii="仿宋_GB2312" w:hAnsi="宋体" w:eastAsia="仿宋_GB2312"/>
                <w:sz w:val="24"/>
                <w:szCs w:val="24"/>
              </w:rPr>
            </w:pPr>
          </w:p>
        </w:tc>
        <w:tc>
          <w:tcPr>
            <w:tcW w:w="1275" w:type="dxa"/>
            <w:tcBorders>
              <w:top w:val="single" w:color="auto" w:sz="6" w:space="0"/>
              <w:left w:val="single" w:color="auto" w:sz="4" w:space="0"/>
              <w:bottom w:val="single" w:color="auto" w:sz="6" w:space="0"/>
            </w:tcBorders>
            <w:vAlign w:val="center"/>
          </w:tcPr>
          <w:p>
            <w:pPr>
              <w:rPr>
                <w:rFonts w:ascii="仿宋_GB2312" w:hAnsi="宋体" w:eastAsia="仿宋_GB2312"/>
                <w:sz w:val="24"/>
                <w:szCs w:val="24"/>
              </w:rPr>
            </w:pPr>
          </w:p>
        </w:tc>
        <w:tc>
          <w:tcPr>
            <w:tcW w:w="1966" w:type="dxa"/>
            <w:gridSpan w:val="2"/>
            <w:tcBorders>
              <w:top w:val="single" w:color="auto" w:sz="6" w:space="0"/>
              <w:left w:val="single" w:color="auto" w:sz="4" w:space="0"/>
              <w:bottom w:val="single" w:color="auto" w:sz="6"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12" w:type="dxa"/>
            <w:gridSpan w:val="2"/>
            <w:tcBorders>
              <w:top w:val="single" w:color="auto" w:sz="6" w:space="0"/>
              <w:bottom w:val="single" w:color="auto" w:sz="12" w:space="0"/>
            </w:tcBorders>
            <w:vAlign w:val="center"/>
          </w:tcPr>
          <w:p>
            <w:pPr>
              <w:rPr>
                <w:rFonts w:ascii="仿宋_GB2312" w:hAnsi="宋体" w:eastAsia="仿宋_GB2312"/>
                <w:sz w:val="24"/>
                <w:szCs w:val="24"/>
              </w:rPr>
            </w:pPr>
          </w:p>
        </w:tc>
        <w:tc>
          <w:tcPr>
            <w:tcW w:w="1984" w:type="dxa"/>
            <w:gridSpan w:val="2"/>
            <w:tcBorders>
              <w:top w:val="single" w:color="auto" w:sz="6" w:space="0"/>
              <w:bottom w:val="single" w:color="auto" w:sz="12" w:space="0"/>
            </w:tcBorders>
            <w:vAlign w:val="center"/>
          </w:tcPr>
          <w:p>
            <w:pPr>
              <w:jc w:val="center"/>
              <w:rPr>
                <w:rFonts w:ascii="仿宋_GB2312" w:hAnsi="宋体" w:eastAsia="仿宋_GB2312"/>
                <w:sz w:val="24"/>
                <w:szCs w:val="24"/>
              </w:rPr>
            </w:pPr>
          </w:p>
        </w:tc>
        <w:tc>
          <w:tcPr>
            <w:tcW w:w="1985" w:type="dxa"/>
            <w:gridSpan w:val="4"/>
            <w:tcBorders>
              <w:top w:val="single" w:color="auto" w:sz="6" w:space="0"/>
              <w:bottom w:val="single" w:color="auto" w:sz="12" w:space="0"/>
              <w:right w:val="single" w:color="auto" w:sz="4" w:space="0"/>
            </w:tcBorders>
            <w:vAlign w:val="center"/>
          </w:tcPr>
          <w:p>
            <w:pPr>
              <w:rPr>
                <w:rFonts w:ascii="仿宋_GB2312" w:hAnsi="宋体" w:eastAsia="仿宋_GB2312"/>
                <w:sz w:val="24"/>
                <w:szCs w:val="24"/>
              </w:rPr>
            </w:pPr>
          </w:p>
        </w:tc>
        <w:tc>
          <w:tcPr>
            <w:tcW w:w="1275" w:type="dxa"/>
            <w:tcBorders>
              <w:top w:val="single" w:color="auto" w:sz="6" w:space="0"/>
              <w:left w:val="single" w:color="auto" w:sz="4" w:space="0"/>
              <w:bottom w:val="single" w:color="auto" w:sz="12" w:space="0"/>
            </w:tcBorders>
            <w:vAlign w:val="center"/>
          </w:tcPr>
          <w:p>
            <w:pPr>
              <w:rPr>
                <w:rFonts w:ascii="仿宋_GB2312" w:hAnsi="宋体" w:eastAsia="仿宋_GB2312"/>
                <w:sz w:val="24"/>
                <w:szCs w:val="24"/>
              </w:rPr>
            </w:pPr>
          </w:p>
        </w:tc>
        <w:tc>
          <w:tcPr>
            <w:tcW w:w="1966" w:type="dxa"/>
            <w:gridSpan w:val="2"/>
            <w:tcBorders>
              <w:top w:val="single" w:color="auto" w:sz="6" w:space="0"/>
              <w:left w:val="single" w:color="auto" w:sz="4" w:space="0"/>
              <w:bottom w:val="single" w:color="auto" w:sz="12"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9322" w:type="dxa"/>
            <w:gridSpan w:val="11"/>
            <w:tcBorders>
              <w:top w:val="single" w:color="auto" w:sz="12" w:space="0"/>
            </w:tcBorders>
          </w:tcPr>
          <w:p/>
          <w:p>
            <w:pPr>
              <w:tabs>
                <w:tab w:val="left" w:pos="4983"/>
              </w:tabs>
              <w:spacing w:line="360" w:lineRule="auto"/>
              <w:rPr>
                <w:rFonts w:ascii="仿宋" w:hAnsi="仿宋" w:eastAsia="仿宋"/>
                <w:sz w:val="24"/>
                <w:szCs w:val="28"/>
              </w:rPr>
            </w:pPr>
            <w:r>
              <w:rPr>
                <w:rFonts w:hint="eastAsia" w:ascii="仿宋" w:hAnsi="仿宋" w:eastAsia="仿宋"/>
                <w:sz w:val="24"/>
                <w:szCs w:val="28"/>
              </w:rPr>
              <w:t>经办人签字或盖章：</w:t>
            </w:r>
            <w:r>
              <w:rPr>
                <w:rFonts w:ascii="仿宋" w:hAnsi="仿宋" w:eastAsia="仿宋"/>
                <w:sz w:val="24"/>
                <w:szCs w:val="28"/>
              </w:rPr>
              <w:tab/>
            </w:r>
            <w:r>
              <w:rPr>
                <w:rFonts w:hint="eastAsia" w:ascii="仿宋" w:hAnsi="仿宋" w:eastAsia="仿宋"/>
                <w:sz w:val="24"/>
                <w:szCs w:val="28"/>
              </w:rPr>
              <w:t>复核人签字或盖章：</w:t>
            </w:r>
          </w:p>
          <w:p>
            <w:pPr>
              <w:tabs>
                <w:tab w:val="left" w:pos="4983"/>
              </w:tabs>
              <w:spacing w:line="360" w:lineRule="auto"/>
              <w:rPr>
                <w:rFonts w:ascii="仿宋" w:hAnsi="仿宋" w:eastAsia="仿宋"/>
                <w:sz w:val="24"/>
                <w:szCs w:val="28"/>
              </w:rPr>
            </w:pPr>
            <w:r>
              <w:rPr>
                <w:rFonts w:hint="eastAsia" w:ascii="仿宋" w:hAnsi="仿宋" w:eastAsia="仿宋"/>
                <w:sz w:val="24"/>
                <w:szCs w:val="28"/>
              </w:rPr>
              <w:t>联系电话：</w:t>
            </w:r>
            <w:r>
              <w:rPr>
                <w:rFonts w:ascii="仿宋" w:hAnsi="仿宋" w:eastAsia="仿宋"/>
                <w:sz w:val="24"/>
                <w:szCs w:val="28"/>
              </w:rPr>
              <w:tab/>
            </w:r>
            <w:r>
              <w:rPr>
                <w:rFonts w:hint="eastAsia" w:ascii="仿宋" w:hAnsi="仿宋" w:eastAsia="仿宋"/>
                <w:sz w:val="24"/>
                <w:szCs w:val="28"/>
              </w:rPr>
              <w:t>联系电话：</w:t>
            </w:r>
          </w:p>
          <w:p>
            <w:pPr>
              <w:rPr>
                <w:rFonts w:ascii="仿宋" w:hAnsi="仿宋" w:eastAsia="仿宋"/>
                <w:sz w:val="24"/>
                <w:szCs w:val="28"/>
              </w:rPr>
            </w:pPr>
          </w:p>
          <w:p>
            <w:pPr>
              <w:rPr>
                <w:rFonts w:ascii="仿宋" w:hAnsi="仿宋" w:eastAsia="仿宋"/>
                <w:sz w:val="24"/>
                <w:szCs w:val="28"/>
              </w:rPr>
            </w:pPr>
          </w:p>
          <w:p>
            <w:pPr>
              <w:ind w:right="420" w:firstLine="4982" w:firstLineChars="2076"/>
              <w:rPr>
                <w:rFonts w:ascii="仿宋" w:hAnsi="仿宋" w:eastAsia="仿宋"/>
                <w:sz w:val="24"/>
                <w:szCs w:val="28"/>
              </w:rPr>
            </w:pPr>
            <w:r>
              <w:rPr>
                <w:rFonts w:hint="eastAsia" w:ascii="仿宋" w:hAnsi="仿宋" w:eastAsia="仿宋"/>
                <w:sz w:val="24"/>
                <w:szCs w:val="28"/>
              </w:rPr>
              <w:t>会员单位公章：</w:t>
            </w:r>
          </w:p>
          <w:p>
            <w:pPr>
              <w:ind w:right="420" w:firstLine="4982" w:firstLineChars="2076"/>
              <w:rPr>
                <w:rFonts w:ascii="仿宋" w:hAnsi="仿宋" w:eastAsia="仿宋"/>
                <w:sz w:val="24"/>
                <w:szCs w:val="28"/>
              </w:rPr>
            </w:pPr>
          </w:p>
          <w:p>
            <w:pPr>
              <w:ind w:firstLine="4982" w:firstLineChars="2076"/>
            </w:pP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tc>
      </w:tr>
    </w:tbl>
    <w:p>
      <w:pPr>
        <w:pStyle w:val="18"/>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以下由上期所填写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pStyle w:val="18"/>
        <w:spacing w:after="156"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sectPr>
      <w:footerReference r:id="rId3" w:type="default"/>
      <w:type w:val="continuous"/>
      <w:pgSz w:w="11906" w:h="16838"/>
      <w:pgMar w:top="1560" w:right="1304" w:bottom="1134" w:left="1304" w:header="851" w:footer="5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FKai-SB">
    <w:altName w:val="宋体"/>
    <w:panose1 w:val="00000000000000000000"/>
    <w:charset w:val="88"/>
    <w:family w:val="script"/>
    <w:pitch w:val="default"/>
    <w:sig w:usb0="00000000" w:usb1="00000000" w:usb2="00000016" w:usb3="00000000" w:csb0="00100001" w:csb1="00000000"/>
  </w:font>
  <w:font w:name="Arial Unicode MS">
    <w:altName w:val="Times New Roman"/>
    <w:panose1 w:val="020B0604020202020204"/>
    <w:charset w:val="86"/>
    <w:family w:val="swiss"/>
    <w:pitch w:val="default"/>
    <w:sig w:usb0="00000000" w:usb1="00000000" w:usb2="0000003F" w:usb3="00000000" w:csb0="003F01FF" w:csb1="00000000"/>
  </w:font>
  <w:font w:name="Microsoft Sans Serif">
    <w:altName w:val="DejaVu Sans"/>
    <w:panose1 w:val="020B0604020202020204"/>
    <w:charset w:val="00"/>
    <w:family w:val="swiss"/>
    <w:pitch w:val="default"/>
    <w:sig w:usb0="00000000" w:usb1="00000000" w:usb2="00000029" w:usb3="00000000" w:csb0="000101FF" w:csb1="0000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仿宋_GB2312">
    <w:altName w:val="宋体"/>
    <w:panose1 w:val="00000000000000000000"/>
    <w:charset w:val="86"/>
    <w:family w:val="modern"/>
    <w:pitch w:val="default"/>
    <w:sig w:usb0="00000000" w:usb1="00000000" w:usb2="00000010" w:usb3="00000000" w:csb0="00040000" w:csb1="00000000"/>
  </w:font>
  <w:font w:name="方正黑体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10 -</w:t>
        </w:r>
        <w:r>
          <w:rPr>
            <w:rFonts w:ascii="Times New Roman" w:hAnsi="Times New Roman" w:cs="Times New Roman"/>
            <w:sz w:val="24"/>
            <w:szCs w:val="24"/>
          </w:rPr>
          <w:fldChar w:fldCharType="end"/>
        </w:r>
      </w:p>
    </w:sdtContent>
  </w:sdt>
  <w:p>
    <w:pPr>
      <w:pStyle w:val="4"/>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22300"/>
    <w:multiLevelType w:val="multilevel"/>
    <w:tmpl w:val="1F222300"/>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27233118"/>
    <w:multiLevelType w:val="multilevel"/>
    <w:tmpl w:val="27233118"/>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33B27F34"/>
    <w:multiLevelType w:val="multilevel"/>
    <w:tmpl w:val="33B27F34"/>
    <w:lvl w:ilvl="0" w:tentative="0">
      <w:start w:val="1"/>
      <w:numFmt w:val="chineseCountingThousand"/>
      <w:lvlText w:val="%1、"/>
      <w:lvlJc w:val="left"/>
      <w:pPr>
        <w:ind w:left="1063" w:hanging="420"/>
      </w:pPr>
      <w:rPr>
        <w:rFonts w:hint="eastAsia" w:ascii="方正黑体简体" w:eastAsia="方正黑体简体"/>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43455E88"/>
    <w:multiLevelType w:val="multilevel"/>
    <w:tmpl w:val="43455E88"/>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4E8876E5"/>
    <w:multiLevelType w:val="multilevel"/>
    <w:tmpl w:val="4E8876E5"/>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53577334"/>
    <w:multiLevelType w:val="multilevel"/>
    <w:tmpl w:val="53577334"/>
    <w:lvl w:ilvl="0" w:tentative="0">
      <w:start w:val="1"/>
      <w:numFmt w:val="decimal"/>
      <w:lvlText w:val="%1."/>
      <w:lvlJc w:val="left"/>
      <w:pPr>
        <w:ind w:left="1060" w:hanging="420"/>
      </w:pPr>
      <w:rPr>
        <w:rFonts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541D17A6"/>
    <w:multiLevelType w:val="multilevel"/>
    <w:tmpl w:val="541D17A6"/>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6E"/>
    <w:rsid w:val="00002E19"/>
    <w:rsid w:val="00005984"/>
    <w:rsid w:val="00007C79"/>
    <w:rsid w:val="00007D39"/>
    <w:rsid w:val="00010F49"/>
    <w:rsid w:val="000119EB"/>
    <w:rsid w:val="00011A93"/>
    <w:rsid w:val="0001535E"/>
    <w:rsid w:val="000155E6"/>
    <w:rsid w:val="00022694"/>
    <w:rsid w:val="00022AB9"/>
    <w:rsid w:val="000308C8"/>
    <w:rsid w:val="00031092"/>
    <w:rsid w:val="00032354"/>
    <w:rsid w:val="000327FA"/>
    <w:rsid w:val="000337A8"/>
    <w:rsid w:val="00035AFB"/>
    <w:rsid w:val="000361F6"/>
    <w:rsid w:val="000376F4"/>
    <w:rsid w:val="00040AC0"/>
    <w:rsid w:val="0004589F"/>
    <w:rsid w:val="00045964"/>
    <w:rsid w:val="00045A47"/>
    <w:rsid w:val="00047BDA"/>
    <w:rsid w:val="00047D23"/>
    <w:rsid w:val="000549C7"/>
    <w:rsid w:val="00055948"/>
    <w:rsid w:val="00055BF4"/>
    <w:rsid w:val="000611B8"/>
    <w:rsid w:val="000667F5"/>
    <w:rsid w:val="00072AF1"/>
    <w:rsid w:val="0007547D"/>
    <w:rsid w:val="00081A2D"/>
    <w:rsid w:val="00083385"/>
    <w:rsid w:val="00092E17"/>
    <w:rsid w:val="000934BB"/>
    <w:rsid w:val="00094B16"/>
    <w:rsid w:val="0009558E"/>
    <w:rsid w:val="0009716F"/>
    <w:rsid w:val="000A0B82"/>
    <w:rsid w:val="000A15F3"/>
    <w:rsid w:val="000A1A31"/>
    <w:rsid w:val="000A6668"/>
    <w:rsid w:val="000A7609"/>
    <w:rsid w:val="000B0B12"/>
    <w:rsid w:val="000B123C"/>
    <w:rsid w:val="000B4034"/>
    <w:rsid w:val="000B5F1A"/>
    <w:rsid w:val="000B604D"/>
    <w:rsid w:val="000C081A"/>
    <w:rsid w:val="000C1481"/>
    <w:rsid w:val="000C322F"/>
    <w:rsid w:val="000C3DDB"/>
    <w:rsid w:val="000C5428"/>
    <w:rsid w:val="000C5B6F"/>
    <w:rsid w:val="000C6573"/>
    <w:rsid w:val="000C6C99"/>
    <w:rsid w:val="000D07C6"/>
    <w:rsid w:val="000D0E17"/>
    <w:rsid w:val="000D0EAE"/>
    <w:rsid w:val="000D1257"/>
    <w:rsid w:val="000E1821"/>
    <w:rsid w:val="000E5022"/>
    <w:rsid w:val="000F17A4"/>
    <w:rsid w:val="000F3237"/>
    <w:rsid w:val="000F43D5"/>
    <w:rsid w:val="000F474E"/>
    <w:rsid w:val="000F4A48"/>
    <w:rsid w:val="000F74EB"/>
    <w:rsid w:val="000F7A75"/>
    <w:rsid w:val="00101F4F"/>
    <w:rsid w:val="00102454"/>
    <w:rsid w:val="00105F30"/>
    <w:rsid w:val="00106E3E"/>
    <w:rsid w:val="00116014"/>
    <w:rsid w:val="001217D9"/>
    <w:rsid w:val="00123E88"/>
    <w:rsid w:val="00125B21"/>
    <w:rsid w:val="00126A14"/>
    <w:rsid w:val="00131354"/>
    <w:rsid w:val="001318FA"/>
    <w:rsid w:val="00132208"/>
    <w:rsid w:val="00133E06"/>
    <w:rsid w:val="00135952"/>
    <w:rsid w:val="0013746B"/>
    <w:rsid w:val="001422D2"/>
    <w:rsid w:val="00145032"/>
    <w:rsid w:val="00150A91"/>
    <w:rsid w:val="001512A3"/>
    <w:rsid w:val="00153F93"/>
    <w:rsid w:val="00154B67"/>
    <w:rsid w:val="00155BFB"/>
    <w:rsid w:val="00156433"/>
    <w:rsid w:val="00156C98"/>
    <w:rsid w:val="00157915"/>
    <w:rsid w:val="001613B7"/>
    <w:rsid w:val="0016313C"/>
    <w:rsid w:val="00165C62"/>
    <w:rsid w:val="001677DD"/>
    <w:rsid w:val="001704D0"/>
    <w:rsid w:val="00172592"/>
    <w:rsid w:val="001742C7"/>
    <w:rsid w:val="0017659B"/>
    <w:rsid w:val="001825FB"/>
    <w:rsid w:val="001839E3"/>
    <w:rsid w:val="00184F1D"/>
    <w:rsid w:val="00191C31"/>
    <w:rsid w:val="00196D5D"/>
    <w:rsid w:val="00197152"/>
    <w:rsid w:val="00197A5C"/>
    <w:rsid w:val="001A639A"/>
    <w:rsid w:val="001A63DB"/>
    <w:rsid w:val="001B07C5"/>
    <w:rsid w:val="001C490B"/>
    <w:rsid w:val="001C5B4C"/>
    <w:rsid w:val="001D1DEA"/>
    <w:rsid w:val="001D405F"/>
    <w:rsid w:val="001D40F0"/>
    <w:rsid w:val="001D52C7"/>
    <w:rsid w:val="001D5917"/>
    <w:rsid w:val="001E0EC7"/>
    <w:rsid w:val="001E1C72"/>
    <w:rsid w:val="001E7C4F"/>
    <w:rsid w:val="001F12CD"/>
    <w:rsid w:val="001F1D06"/>
    <w:rsid w:val="001F35F2"/>
    <w:rsid w:val="001F417F"/>
    <w:rsid w:val="001F4443"/>
    <w:rsid w:val="00202CC3"/>
    <w:rsid w:val="002031E1"/>
    <w:rsid w:val="00204743"/>
    <w:rsid w:val="00205349"/>
    <w:rsid w:val="00205ECB"/>
    <w:rsid w:val="00206E6F"/>
    <w:rsid w:val="00206EFF"/>
    <w:rsid w:val="00211B13"/>
    <w:rsid w:val="0021200A"/>
    <w:rsid w:val="002137CE"/>
    <w:rsid w:val="002176EA"/>
    <w:rsid w:val="00217FA1"/>
    <w:rsid w:val="002202B1"/>
    <w:rsid w:val="00224CDA"/>
    <w:rsid w:val="00224D85"/>
    <w:rsid w:val="00224FB4"/>
    <w:rsid w:val="0022509C"/>
    <w:rsid w:val="002250D0"/>
    <w:rsid w:val="0022536D"/>
    <w:rsid w:val="00226AAF"/>
    <w:rsid w:val="002313DA"/>
    <w:rsid w:val="002415E6"/>
    <w:rsid w:val="00242505"/>
    <w:rsid w:val="00243358"/>
    <w:rsid w:val="00244A59"/>
    <w:rsid w:val="00245373"/>
    <w:rsid w:val="00246512"/>
    <w:rsid w:val="002467A7"/>
    <w:rsid w:val="00246C13"/>
    <w:rsid w:val="00250623"/>
    <w:rsid w:val="00251768"/>
    <w:rsid w:val="00254301"/>
    <w:rsid w:val="00254669"/>
    <w:rsid w:val="00255365"/>
    <w:rsid w:val="002638B0"/>
    <w:rsid w:val="00264B1D"/>
    <w:rsid w:val="00264E91"/>
    <w:rsid w:val="00266675"/>
    <w:rsid w:val="00267951"/>
    <w:rsid w:val="002756D4"/>
    <w:rsid w:val="00276197"/>
    <w:rsid w:val="002804C1"/>
    <w:rsid w:val="0028087C"/>
    <w:rsid w:val="00281D03"/>
    <w:rsid w:val="00285EA1"/>
    <w:rsid w:val="00285FDE"/>
    <w:rsid w:val="00286B2D"/>
    <w:rsid w:val="002972AA"/>
    <w:rsid w:val="00297358"/>
    <w:rsid w:val="0029799E"/>
    <w:rsid w:val="002A172C"/>
    <w:rsid w:val="002A4AD1"/>
    <w:rsid w:val="002B262E"/>
    <w:rsid w:val="002B4455"/>
    <w:rsid w:val="002B4699"/>
    <w:rsid w:val="002B5ADF"/>
    <w:rsid w:val="002B7D60"/>
    <w:rsid w:val="002C1DB1"/>
    <w:rsid w:val="002C2E79"/>
    <w:rsid w:val="002C5003"/>
    <w:rsid w:val="002C6673"/>
    <w:rsid w:val="002D25AA"/>
    <w:rsid w:val="002D3BD7"/>
    <w:rsid w:val="002D3C7A"/>
    <w:rsid w:val="002D5D6A"/>
    <w:rsid w:val="002E15E5"/>
    <w:rsid w:val="002E2118"/>
    <w:rsid w:val="002E6437"/>
    <w:rsid w:val="002F1EE2"/>
    <w:rsid w:val="002F25C4"/>
    <w:rsid w:val="002F5350"/>
    <w:rsid w:val="002F66B7"/>
    <w:rsid w:val="002F6CFE"/>
    <w:rsid w:val="0030053A"/>
    <w:rsid w:val="003023A8"/>
    <w:rsid w:val="00302C3C"/>
    <w:rsid w:val="0030652C"/>
    <w:rsid w:val="00311280"/>
    <w:rsid w:val="0031142B"/>
    <w:rsid w:val="0031388A"/>
    <w:rsid w:val="00314761"/>
    <w:rsid w:val="00314F37"/>
    <w:rsid w:val="00315781"/>
    <w:rsid w:val="003203A0"/>
    <w:rsid w:val="003211C3"/>
    <w:rsid w:val="00325683"/>
    <w:rsid w:val="003267A9"/>
    <w:rsid w:val="00326B3B"/>
    <w:rsid w:val="00331236"/>
    <w:rsid w:val="003365EE"/>
    <w:rsid w:val="0034219C"/>
    <w:rsid w:val="0034474C"/>
    <w:rsid w:val="00345B51"/>
    <w:rsid w:val="003509A5"/>
    <w:rsid w:val="00354FC2"/>
    <w:rsid w:val="0035634D"/>
    <w:rsid w:val="003568F3"/>
    <w:rsid w:val="0036115A"/>
    <w:rsid w:val="00365113"/>
    <w:rsid w:val="003667A0"/>
    <w:rsid w:val="00366C18"/>
    <w:rsid w:val="003704E4"/>
    <w:rsid w:val="00370603"/>
    <w:rsid w:val="003729EB"/>
    <w:rsid w:val="00373935"/>
    <w:rsid w:val="003819A4"/>
    <w:rsid w:val="00381B26"/>
    <w:rsid w:val="0038205C"/>
    <w:rsid w:val="00384487"/>
    <w:rsid w:val="00385A47"/>
    <w:rsid w:val="00390D5B"/>
    <w:rsid w:val="0039150C"/>
    <w:rsid w:val="00391891"/>
    <w:rsid w:val="003933EA"/>
    <w:rsid w:val="00394113"/>
    <w:rsid w:val="003962AA"/>
    <w:rsid w:val="00397FB9"/>
    <w:rsid w:val="003A315E"/>
    <w:rsid w:val="003A50E5"/>
    <w:rsid w:val="003A5988"/>
    <w:rsid w:val="003A7F50"/>
    <w:rsid w:val="003B0202"/>
    <w:rsid w:val="003B035A"/>
    <w:rsid w:val="003B36A6"/>
    <w:rsid w:val="003B5DB2"/>
    <w:rsid w:val="003B7256"/>
    <w:rsid w:val="003C346B"/>
    <w:rsid w:val="003C34C1"/>
    <w:rsid w:val="003C38CC"/>
    <w:rsid w:val="003C5FA9"/>
    <w:rsid w:val="003D0622"/>
    <w:rsid w:val="003D076C"/>
    <w:rsid w:val="003D367A"/>
    <w:rsid w:val="003D4784"/>
    <w:rsid w:val="003D517F"/>
    <w:rsid w:val="003D56F2"/>
    <w:rsid w:val="003E0369"/>
    <w:rsid w:val="003E053E"/>
    <w:rsid w:val="003E1C5F"/>
    <w:rsid w:val="003E34D7"/>
    <w:rsid w:val="003E4CC7"/>
    <w:rsid w:val="003F06DF"/>
    <w:rsid w:val="003F0DA6"/>
    <w:rsid w:val="003F2309"/>
    <w:rsid w:val="003F3086"/>
    <w:rsid w:val="003F4660"/>
    <w:rsid w:val="004067F3"/>
    <w:rsid w:val="00412242"/>
    <w:rsid w:val="00412E18"/>
    <w:rsid w:val="004149B8"/>
    <w:rsid w:val="00417251"/>
    <w:rsid w:val="004224BD"/>
    <w:rsid w:val="00422C6B"/>
    <w:rsid w:val="00422FC7"/>
    <w:rsid w:val="0042701F"/>
    <w:rsid w:val="0043149D"/>
    <w:rsid w:val="00432A90"/>
    <w:rsid w:val="0043521A"/>
    <w:rsid w:val="004416CE"/>
    <w:rsid w:val="004452F5"/>
    <w:rsid w:val="00451049"/>
    <w:rsid w:val="00451CA5"/>
    <w:rsid w:val="00455126"/>
    <w:rsid w:val="00455C58"/>
    <w:rsid w:val="00456F3E"/>
    <w:rsid w:val="0045713C"/>
    <w:rsid w:val="004619CC"/>
    <w:rsid w:val="0046579C"/>
    <w:rsid w:val="00467AAD"/>
    <w:rsid w:val="00474FED"/>
    <w:rsid w:val="004820C1"/>
    <w:rsid w:val="00482225"/>
    <w:rsid w:val="00485C03"/>
    <w:rsid w:val="00486E19"/>
    <w:rsid w:val="004910AA"/>
    <w:rsid w:val="00492AD5"/>
    <w:rsid w:val="00496E39"/>
    <w:rsid w:val="004A13B4"/>
    <w:rsid w:val="004A1934"/>
    <w:rsid w:val="004A3573"/>
    <w:rsid w:val="004A708C"/>
    <w:rsid w:val="004A7A7E"/>
    <w:rsid w:val="004B13F2"/>
    <w:rsid w:val="004B2356"/>
    <w:rsid w:val="004B2A2A"/>
    <w:rsid w:val="004B2C61"/>
    <w:rsid w:val="004B46A3"/>
    <w:rsid w:val="004B7BA0"/>
    <w:rsid w:val="004C051F"/>
    <w:rsid w:val="004C06C7"/>
    <w:rsid w:val="004C53F6"/>
    <w:rsid w:val="004C5A41"/>
    <w:rsid w:val="004D1D22"/>
    <w:rsid w:val="004D4CCC"/>
    <w:rsid w:val="004D5155"/>
    <w:rsid w:val="004D712A"/>
    <w:rsid w:val="004D7699"/>
    <w:rsid w:val="004D791F"/>
    <w:rsid w:val="004E1F47"/>
    <w:rsid w:val="004E482E"/>
    <w:rsid w:val="004E69C6"/>
    <w:rsid w:val="004E7196"/>
    <w:rsid w:val="004E7E34"/>
    <w:rsid w:val="004F4A63"/>
    <w:rsid w:val="004F6B1A"/>
    <w:rsid w:val="004F6B74"/>
    <w:rsid w:val="005011A7"/>
    <w:rsid w:val="00501949"/>
    <w:rsid w:val="0050374E"/>
    <w:rsid w:val="0050524A"/>
    <w:rsid w:val="00511158"/>
    <w:rsid w:val="005129C3"/>
    <w:rsid w:val="00515676"/>
    <w:rsid w:val="00515CAE"/>
    <w:rsid w:val="00520821"/>
    <w:rsid w:val="00522D4C"/>
    <w:rsid w:val="0053321B"/>
    <w:rsid w:val="00533B8B"/>
    <w:rsid w:val="0053402F"/>
    <w:rsid w:val="00535698"/>
    <w:rsid w:val="005458DB"/>
    <w:rsid w:val="005469B7"/>
    <w:rsid w:val="0055168B"/>
    <w:rsid w:val="00552485"/>
    <w:rsid w:val="00555313"/>
    <w:rsid w:val="00556485"/>
    <w:rsid w:val="00561D8E"/>
    <w:rsid w:val="005652D6"/>
    <w:rsid w:val="005708BB"/>
    <w:rsid w:val="00571C59"/>
    <w:rsid w:val="00575148"/>
    <w:rsid w:val="00575235"/>
    <w:rsid w:val="00575BB5"/>
    <w:rsid w:val="005762F9"/>
    <w:rsid w:val="00580010"/>
    <w:rsid w:val="0058245E"/>
    <w:rsid w:val="00582949"/>
    <w:rsid w:val="00584275"/>
    <w:rsid w:val="00586790"/>
    <w:rsid w:val="0058712B"/>
    <w:rsid w:val="00593C84"/>
    <w:rsid w:val="00593DCB"/>
    <w:rsid w:val="0059564E"/>
    <w:rsid w:val="00596004"/>
    <w:rsid w:val="0059729E"/>
    <w:rsid w:val="005978E6"/>
    <w:rsid w:val="00597F40"/>
    <w:rsid w:val="005A2453"/>
    <w:rsid w:val="005A7164"/>
    <w:rsid w:val="005B02BC"/>
    <w:rsid w:val="005B210A"/>
    <w:rsid w:val="005B6278"/>
    <w:rsid w:val="005B7578"/>
    <w:rsid w:val="005B7A5E"/>
    <w:rsid w:val="005C33A4"/>
    <w:rsid w:val="005C3DD7"/>
    <w:rsid w:val="005C7665"/>
    <w:rsid w:val="005D28AA"/>
    <w:rsid w:val="005D5C5F"/>
    <w:rsid w:val="005E1C50"/>
    <w:rsid w:val="005E37A0"/>
    <w:rsid w:val="005E6A66"/>
    <w:rsid w:val="005E73B1"/>
    <w:rsid w:val="005F045D"/>
    <w:rsid w:val="005F3F32"/>
    <w:rsid w:val="005F7D25"/>
    <w:rsid w:val="006016BD"/>
    <w:rsid w:val="00601CE3"/>
    <w:rsid w:val="00601F67"/>
    <w:rsid w:val="00602D2E"/>
    <w:rsid w:val="00612E32"/>
    <w:rsid w:val="00612FAE"/>
    <w:rsid w:val="00613DA5"/>
    <w:rsid w:val="006167A3"/>
    <w:rsid w:val="00627035"/>
    <w:rsid w:val="00632C7E"/>
    <w:rsid w:val="006366AF"/>
    <w:rsid w:val="006366F3"/>
    <w:rsid w:val="00640728"/>
    <w:rsid w:val="0064191D"/>
    <w:rsid w:val="006442B7"/>
    <w:rsid w:val="00644769"/>
    <w:rsid w:val="0064678B"/>
    <w:rsid w:val="00656947"/>
    <w:rsid w:val="006607D4"/>
    <w:rsid w:val="00662BF2"/>
    <w:rsid w:val="00663B96"/>
    <w:rsid w:val="00663D73"/>
    <w:rsid w:val="0066458C"/>
    <w:rsid w:val="00664D47"/>
    <w:rsid w:val="00664DCF"/>
    <w:rsid w:val="0066736A"/>
    <w:rsid w:val="00667923"/>
    <w:rsid w:val="006734CB"/>
    <w:rsid w:val="00675B21"/>
    <w:rsid w:val="00676046"/>
    <w:rsid w:val="00676B7C"/>
    <w:rsid w:val="00683299"/>
    <w:rsid w:val="00685D2F"/>
    <w:rsid w:val="00690D89"/>
    <w:rsid w:val="006941FF"/>
    <w:rsid w:val="00695AB2"/>
    <w:rsid w:val="00696804"/>
    <w:rsid w:val="006979D3"/>
    <w:rsid w:val="006A0698"/>
    <w:rsid w:val="006A0CCE"/>
    <w:rsid w:val="006A1FAA"/>
    <w:rsid w:val="006A3E35"/>
    <w:rsid w:val="006A6AAE"/>
    <w:rsid w:val="006A6C66"/>
    <w:rsid w:val="006A6DDE"/>
    <w:rsid w:val="006A727F"/>
    <w:rsid w:val="006B0D40"/>
    <w:rsid w:val="006B0F94"/>
    <w:rsid w:val="006B1C66"/>
    <w:rsid w:val="006B2913"/>
    <w:rsid w:val="006B488C"/>
    <w:rsid w:val="006B4DE0"/>
    <w:rsid w:val="006B4FA6"/>
    <w:rsid w:val="006B5F24"/>
    <w:rsid w:val="006B7427"/>
    <w:rsid w:val="006B78AE"/>
    <w:rsid w:val="006C227E"/>
    <w:rsid w:val="006C2F30"/>
    <w:rsid w:val="006C2FF7"/>
    <w:rsid w:val="006C327A"/>
    <w:rsid w:val="006C4B39"/>
    <w:rsid w:val="006C69F5"/>
    <w:rsid w:val="006D39EF"/>
    <w:rsid w:val="006D45C4"/>
    <w:rsid w:val="006D6D6E"/>
    <w:rsid w:val="006D73D0"/>
    <w:rsid w:val="006D74C6"/>
    <w:rsid w:val="006E367B"/>
    <w:rsid w:val="006E56B4"/>
    <w:rsid w:val="006E6B01"/>
    <w:rsid w:val="006F4030"/>
    <w:rsid w:val="006F44F7"/>
    <w:rsid w:val="006F5709"/>
    <w:rsid w:val="006F5FB4"/>
    <w:rsid w:val="006F6356"/>
    <w:rsid w:val="006F6B9B"/>
    <w:rsid w:val="006F6D68"/>
    <w:rsid w:val="007010FE"/>
    <w:rsid w:val="00702332"/>
    <w:rsid w:val="00705C5A"/>
    <w:rsid w:val="00706C9C"/>
    <w:rsid w:val="00707E21"/>
    <w:rsid w:val="00710DF7"/>
    <w:rsid w:val="0071270F"/>
    <w:rsid w:val="00712F7B"/>
    <w:rsid w:val="00714947"/>
    <w:rsid w:val="00722C9F"/>
    <w:rsid w:val="0072332A"/>
    <w:rsid w:val="00723BB1"/>
    <w:rsid w:val="00726E5A"/>
    <w:rsid w:val="00727062"/>
    <w:rsid w:val="00727F51"/>
    <w:rsid w:val="007304B8"/>
    <w:rsid w:val="00730966"/>
    <w:rsid w:val="00730D01"/>
    <w:rsid w:val="00730E8C"/>
    <w:rsid w:val="00733439"/>
    <w:rsid w:val="00733D26"/>
    <w:rsid w:val="00733EE9"/>
    <w:rsid w:val="00734CB1"/>
    <w:rsid w:val="00743406"/>
    <w:rsid w:val="00743FA1"/>
    <w:rsid w:val="007504A8"/>
    <w:rsid w:val="00753647"/>
    <w:rsid w:val="007550A8"/>
    <w:rsid w:val="00757C02"/>
    <w:rsid w:val="00757CEA"/>
    <w:rsid w:val="00763D0F"/>
    <w:rsid w:val="007654B1"/>
    <w:rsid w:val="0076584C"/>
    <w:rsid w:val="00765D6F"/>
    <w:rsid w:val="0076697C"/>
    <w:rsid w:val="00766D83"/>
    <w:rsid w:val="007719E5"/>
    <w:rsid w:val="007759BD"/>
    <w:rsid w:val="00776A26"/>
    <w:rsid w:val="007801AE"/>
    <w:rsid w:val="00781372"/>
    <w:rsid w:val="00786B3D"/>
    <w:rsid w:val="0079195D"/>
    <w:rsid w:val="0079263F"/>
    <w:rsid w:val="007A2CD0"/>
    <w:rsid w:val="007A2FDF"/>
    <w:rsid w:val="007A5EB3"/>
    <w:rsid w:val="007A68C3"/>
    <w:rsid w:val="007B3159"/>
    <w:rsid w:val="007B3606"/>
    <w:rsid w:val="007B3EBD"/>
    <w:rsid w:val="007B4121"/>
    <w:rsid w:val="007B67D6"/>
    <w:rsid w:val="007C10D5"/>
    <w:rsid w:val="007C1DDD"/>
    <w:rsid w:val="007C2214"/>
    <w:rsid w:val="007C4431"/>
    <w:rsid w:val="007C545B"/>
    <w:rsid w:val="007C6888"/>
    <w:rsid w:val="007C6E45"/>
    <w:rsid w:val="007D0266"/>
    <w:rsid w:val="007D0352"/>
    <w:rsid w:val="007D514F"/>
    <w:rsid w:val="007D754A"/>
    <w:rsid w:val="007E427F"/>
    <w:rsid w:val="007F5D26"/>
    <w:rsid w:val="00807964"/>
    <w:rsid w:val="00810051"/>
    <w:rsid w:val="008121AF"/>
    <w:rsid w:val="0081337C"/>
    <w:rsid w:val="00813777"/>
    <w:rsid w:val="00813D9C"/>
    <w:rsid w:val="00815B33"/>
    <w:rsid w:val="00816394"/>
    <w:rsid w:val="00817F04"/>
    <w:rsid w:val="00821169"/>
    <w:rsid w:val="00825915"/>
    <w:rsid w:val="00827BC3"/>
    <w:rsid w:val="00831446"/>
    <w:rsid w:val="008359C2"/>
    <w:rsid w:val="00835C5F"/>
    <w:rsid w:val="00836DDE"/>
    <w:rsid w:val="00840405"/>
    <w:rsid w:val="00845A80"/>
    <w:rsid w:val="00846457"/>
    <w:rsid w:val="0085214F"/>
    <w:rsid w:val="0085715F"/>
    <w:rsid w:val="008602E3"/>
    <w:rsid w:val="00861D6E"/>
    <w:rsid w:val="0086306D"/>
    <w:rsid w:val="00865B31"/>
    <w:rsid w:val="00872D75"/>
    <w:rsid w:val="00873801"/>
    <w:rsid w:val="0087522A"/>
    <w:rsid w:val="0087723B"/>
    <w:rsid w:val="00877760"/>
    <w:rsid w:val="008820D5"/>
    <w:rsid w:val="00890629"/>
    <w:rsid w:val="008906CF"/>
    <w:rsid w:val="00893772"/>
    <w:rsid w:val="00895064"/>
    <w:rsid w:val="008952D4"/>
    <w:rsid w:val="008A179E"/>
    <w:rsid w:val="008A4A56"/>
    <w:rsid w:val="008A608D"/>
    <w:rsid w:val="008A781A"/>
    <w:rsid w:val="008B0AAA"/>
    <w:rsid w:val="008B0FDB"/>
    <w:rsid w:val="008B5BEC"/>
    <w:rsid w:val="008B6F48"/>
    <w:rsid w:val="008B73A7"/>
    <w:rsid w:val="008B73F8"/>
    <w:rsid w:val="008B7D82"/>
    <w:rsid w:val="008C45ED"/>
    <w:rsid w:val="008C5131"/>
    <w:rsid w:val="008C6B9B"/>
    <w:rsid w:val="008D0FEC"/>
    <w:rsid w:val="008D26F3"/>
    <w:rsid w:val="008D50A5"/>
    <w:rsid w:val="008E7007"/>
    <w:rsid w:val="008F070C"/>
    <w:rsid w:val="008F16F1"/>
    <w:rsid w:val="008F1891"/>
    <w:rsid w:val="008F30C4"/>
    <w:rsid w:val="008F5503"/>
    <w:rsid w:val="008F6706"/>
    <w:rsid w:val="009023F7"/>
    <w:rsid w:val="00902F4E"/>
    <w:rsid w:val="00903036"/>
    <w:rsid w:val="00907128"/>
    <w:rsid w:val="00910708"/>
    <w:rsid w:val="00911117"/>
    <w:rsid w:val="00912AC1"/>
    <w:rsid w:val="00916CEE"/>
    <w:rsid w:val="00916F17"/>
    <w:rsid w:val="009175DB"/>
    <w:rsid w:val="00920A25"/>
    <w:rsid w:val="00926B95"/>
    <w:rsid w:val="009350A6"/>
    <w:rsid w:val="0093559D"/>
    <w:rsid w:val="00935733"/>
    <w:rsid w:val="00942D2D"/>
    <w:rsid w:val="00945F50"/>
    <w:rsid w:val="00951AF1"/>
    <w:rsid w:val="00952E41"/>
    <w:rsid w:val="009535B4"/>
    <w:rsid w:val="00956D07"/>
    <w:rsid w:val="00956F00"/>
    <w:rsid w:val="0095748C"/>
    <w:rsid w:val="00960011"/>
    <w:rsid w:val="009603F7"/>
    <w:rsid w:val="00960578"/>
    <w:rsid w:val="00967554"/>
    <w:rsid w:val="00970C0F"/>
    <w:rsid w:val="00970EA3"/>
    <w:rsid w:val="0097226C"/>
    <w:rsid w:val="00973895"/>
    <w:rsid w:val="00977B4C"/>
    <w:rsid w:val="00982549"/>
    <w:rsid w:val="00982584"/>
    <w:rsid w:val="00984C83"/>
    <w:rsid w:val="00994D3F"/>
    <w:rsid w:val="00996C96"/>
    <w:rsid w:val="00997F14"/>
    <w:rsid w:val="009A048D"/>
    <w:rsid w:val="009A182A"/>
    <w:rsid w:val="009A5F9C"/>
    <w:rsid w:val="009B0904"/>
    <w:rsid w:val="009B1E22"/>
    <w:rsid w:val="009B38DC"/>
    <w:rsid w:val="009B3B21"/>
    <w:rsid w:val="009B52F7"/>
    <w:rsid w:val="009B55DD"/>
    <w:rsid w:val="009B567C"/>
    <w:rsid w:val="009B5961"/>
    <w:rsid w:val="009B5F97"/>
    <w:rsid w:val="009B6F63"/>
    <w:rsid w:val="009C1F14"/>
    <w:rsid w:val="009C48FD"/>
    <w:rsid w:val="009C5122"/>
    <w:rsid w:val="009D0989"/>
    <w:rsid w:val="009D1A1F"/>
    <w:rsid w:val="009D205E"/>
    <w:rsid w:val="009D4255"/>
    <w:rsid w:val="009D6492"/>
    <w:rsid w:val="009D6BA3"/>
    <w:rsid w:val="009D7412"/>
    <w:rsid w:val="009D7AEC"/>
    <w:rsid w:val="009D7B96"/>
    <w:rsid w:val="009E0D25"/>
    <w:rsid w:val="009E2414"/>
    <w:rsid w:val="009E6E51"/>
    <w:rsid w:val="009F32EE"/>
    <w:rsid w:val="009F4F30"/>
    <w:rsid w:val="009F54BB"/>
    <w:rsid w:val="009F581B"/>
    <w:rsid w:val="00A04C2F"/>
    <w:rsid w:val="00A06083"/>
    <w:rsid w:val="00A0632D"/>
    <w:rsid w:val="00A0787B"/>
    <w:rsid w:val="00A118B5"/>
    <w:rsid w:val="00A134C5"/>
    <w:rsid w:val="00A16E6D"/>
    <w:rsid w:val="00A17781"/>
    <w:rsid w:val="00A2592C"/>
    <w:rsid w:val="00A30304"/>
    <w:rsid w:val="00A30D75"/>
    <w:rsid w:val="00A33CDD"/>
    <w:rsid w:val="00A33D05"/>
    <w:rsid w:val="00A36C2E"/>
    <w:rsid w:val="00A36E2D"/>
    <w:rsid w:val="00A3712F"/>
    <w:rsid w:val="00A376FA"/>
    <w:rsid w:val="00A41396"/>
    <w:rsid w:val="00A4708B"/>
    <w:rsid w:val="00A507A4"/>
    <w:rsid w:val="00A51BB3"/>
    <w:rsid w:val="00A56E71"/>
    <w:rsid w:val="00A57966"/>
    <w:rsid w:val="00A6177A"/>
    <w:rsid w:val="00A62A65"/>
    <w:rsid w:val="00A66784"/>
    <w:rsid w:val="00A7286E"/>
    <w:rsid w:val="00A75A26"/>
    <w:rsid w:val="00A76B86"/>
    <w:rsid w:val="00A76EFA"/>
    <w:rsid w:val="00A82605"/>
    <w:rsid w:val="00A82620"/>
    <w:rsid w:val="00A855B1"/>
    <w:rsid w:val="00A8676C"/>
    <w:rsid w:val="00A92A9D"/>
    <w:rsid w:val="00A93474"/>
    <w:rsid w:val="00A95019"/>
    <w:rsid w:val="00A95FAD"/>
    <w:rsid w:val="00A963FA"/>
    <w:rsid w:val="00A974D8"/>
    <w:rsid w:val="00AA25E5"/>
    <w:rsid w:val="00AA313C"/>
    <w:rsid w:val="00AA3F5A"/>
    <w:rsid w:val="00AA5BAF"/>
    <w:rsid w:val="00AA6E1B"/>
    <w:rsid w:val="00AB02B5"/>
    <w:rsid w:val="00AB1546"/>
    <w:rsid w:val="00AB2389"/>
    <w:rsid w:val="00AB435D"/>
    <w:rsid w:val="00AB617A"/>
    <w:rsid w:val="00AC385E"/>
    <w:rsid w:val="00AD19F8"/>
    <w:rsid w:val="00AD1D64"/>
    <w:rsid w:val="00AD546E"/>
    <w:rsid w:val="00AD5A72"/>
    <w:rsid w:val="00AD6669"/>
    <w:rsid w:val="00AE187E"/>
    <w:rsid w:val="00AE37D8"/>
    <w:rsid w:val="00AE4E25"/>
    <w:rsid w:val="00AE729D"/>
    <w:rsid w:val="00AF03F8"/>
    <w:rsid w:val="00AF3539"/>
    <w:rsid w:val="00AF4798"/>
    <w:rsid w:val="00AF4A88"/>
    <w:rsid w:val="00AF602A"/>
    <w:rsid w:val="00AF6086"/>
    <w:rsid w:val="00B03827"/>
    <w:rsid w:val="00B067A2"/>
    <w:rsid w:val="00B114B7"/>
    <w:rsid w:val="00B16779"/>
    <w:rsid w:val="00B21046"/>
    <w:rsid w:val="00B2277C"/>
    <w:rsid w:val="00B22C27"/>
    <w:rsid w:val="00B23A67"/>
    <w:rsid w:val="00B3306F"/>
    <w:rsid w:val="00B350E7"/>
    <w:rsid w:val="00B426F2"/>
    <w:rsid w:val="00B44839"/>
    <w:rsid w:val="00B44C3F"/>
    <w:rsid w:val="00B44FB3"/>
    <w:rsid w:val="00B50FA4"/>
    <w:rsid w:val="00B5613A"/>
    <w:rsid w:val="00B63108"/>
    <w:rsid w:val="00B64F41"/>
    <w:rsid w:val="00B657EE"/>
    <w:rsid w:val="00B65B9E"/>
    <w:rsid w:val="00B671B2"/>
    <w:rsid w:val="00B6722C"/>
    <w:rsid w:val="00B7219C"/>
    <w:rsid w:val="00B75C52"/>
    <w:rsid w:val="00B773D1"/>
    <w:rsid w:val="00B77A67"/>
    <w:rsid w:val="00B813A5"/>
    <w:rsid w:val="00B8348A"/>
    <w:rsid w:val="00B859A1"/>
    <w:rsid w:val="00B8738F"/>
    <w:rsid w:val="00B90689"/>
    <w:rsid w:val="00B919B9"/>
    <w:rsid w:val="00B9262E"/>
    <w:rsid w:val="00B93311"/>
    <w:rsid w:val="00B9397C"/>
    <w:rsid w:val="00B93B81"/>
    <w:rsid w:val="00B94298"/>
    <w:rsid w:val="00BA02C1"/>
    <w:rsid w:val="00BA11EE"/>
    <w:rsid w:val="00BA2AEA"/>
    <w:rsid w:val="00BA45E1"/>
    <w:rsid w:val="00BA4FBA"/>
    <w:rsid w:val="00BA51ED"/>
    <w:rsid w:val="00BA581F"/>
    <w:rsid w:val="00BB6F13"/>
    <w:rsid w:val="00BB713D"/>
    <w:rsid w:val="00BB7C15"/>
    <w:rsid w:val="00BC04B0"/>
    <w:rsid w:val="00BC2548"/>
    <w:rsid w:val="00BC6818"/>
    <w:rsid w:val="00BC6E0F"/>
    <w:rsid w:val="00BC73BA"/>
    <w:rsid w:val="00BD12C6"/>
    <w:rsid w:val="00BD2975"/>
    <w:rsid w:val="00BD630D"/>
    <w:rsid w:val="00BD72B1"/>
    <w:rsid w:val="00BD7ABD"/>
    <w:rsid w:val="00BE0023"/>
    <w:rsid w:val="00BE06B4"/>
    <w:rsid w:val="00BE09CC"/>
    <w:rsid w:val="00BE4C29"/>
    <w:rsid w:val="00BE4E35"/>
    <w:rsid w:val="00BE4E89"/>
    <w:rsid w:val="00BE5928"/>
    <w:rsid w:val="00BE5E5E"/>
    <w:rsid w:val="00BF0668"/>
    <w:rsid w:val="00BF1849"/>
    <w:rsid w:val="00BF22B1"/>
    <w:rsid w:val="00BF420E"/>
    <w:rsid w:val="00BF4ECD"/>
    <w:rsid w:val="00C00097"/>
    <w:rsid w:val="00C04D72"/>
    <w:rsid w:val="00C076C6"/>
    <w:rsid w:val="00C12316"/>
    <w:rsid w:val="00C12D2E"/>
    <w:rsid w:val="00C14FDC"/>
    <w:rsid w:val="00C1618F"/>
    <w:rsid w:val="00C2347F"/>
    <w:rsid w:val="00C24528"/>
    <w:rsid w:val="00C27062"/>
    <w:rsid w:val="00C33876"/>
    <w:rsid w:val="00C34651"/>
    <w:rsid w:val="00C3467A"/>
    <w:rsid w:val="00C35583"/>
    <w:rsid w:val="00C37147"/>
    <w:rsid w:val="00C408F4"/>
    <w:rsid w:val="00C4090B"/>
    <w:rsid w:val="00C40D43"/>
    <w:rsid w:val="00C416F4"/>
    <w:rsid w:val="00C42995"/>
    <w:rsid w:val="00C42C6C"/>
    <w:rsid w:val="00C4312E"/>
    <w:rsid w:val="00C438A4"/>
    <w:rsid w:val="00C45CA0"/>
    <w:rsid w:val="00C5183E"/>
    <w:rsid w:val="00C52394"/>
    <w:rsid w:val="00C54618"/>
    <w:rsid w:val="00C57F8E"/>
    <w:rsid w:val="00C61D57"/>
    <w:rsid w:val="00C63AFF"/>
    <w:rsid w:val="00C705BE"/>
    <w:rsid w:val="00C750B3"/>
    <w:rsid w:val="00C76940"/>
    <w:rsid w:val="00C812A2"/>
    <w:rsid w:val="00C8262A"/>
    <w:rsid w:val="00C8309D"/>
    <w:rsid w:val="00C9040C"/>
    <w:rsid w:val="00C93D5D"/>
    <w:rsid w:val="00C9724E"/>
    <w:rsid w:val="00C97502"/>
    <w:rsid w:val="00C97720"/>
    <w:rsid w:val="00C978A0"/>
    <w:rsid w:val="00CA3E91"/>
    <w:rsid w:val="00CA58D0"/>
    <w:rsid w:val="00CA7533"/>
    <w:rsid w:val="00CB2B12"/>
    <w:rsid w:val="00CB3D4D"/>
    <w:rsid w:val="00CB6B0D"/>
    <w:rsid w:val="00CC15EA"/>
    <w:rsid w:val="00CC17D5"/>
    <w:rsid w:val="00CC566A"/>
    <w:rsid w:val="00CC678B"/>
    <w:rsid w:val="00CC7CB4"/>
    <w:rsid w:val="00CD182B"/>
    <w:rsid w:val="00CD208F"/>
    <w:rsid w:val="00CD24CE"/>
    <w:rsid w:val="00CD59B6"/>
    <w:rsid w:val="00CD6A5D"/>
    <w:rsid w:val="00CD6E49"/>
    <w:rsid w:val="00CE23AA"/>
    <w:rsid w:val="00CE33EA"/>
    <w:rsid w:val="00CE3F48"/>
    <w:rsid w:val="00CE4F35"/>
    <w:rsid w:val="00CE573D"/>
    <w:rsid w:val="00CE5B3D"/>
    <w:rsid w:val="00CF0706"/>
    <w:rsid w:val="00CF18F4"/>
    <w:rsid w:val="00CF23AB"/>
    <w:rsid w:val="00CF7277"/>
    <w:rsid w:val="00D004E6"/>
    <w:rsid w:val="00D056B2"/>
    <w:rsid w:val="00D05ABD"/>
    <w:rsid w:val="00D06E00"/>
    <w:rsid w:val="00D109D7"/>
    <w:rsid w:val="00D10AB9"/>
    <w:rsid w:val="00D13E0F"/>
    <w:rsid w:val="00D14A6B"/>
    <w:rsid w:val="00D15BE1"/>
    <w:rsid w:val="00D177E0"/>
    <w:rsid w:val="00D31845"/>
    <w:rsid w:val="00D33526"/>
    <w:rsid w:val="00D408A6"/>
    <w:rsid w:val="00D40F06"/>
    <w:rsid w:val="00D450C1"/>
    <w:rsid w:val="00D45608"/>
    <w:rsid w:val="00D45B2F"/>
    <w:rsid w:val="00D47F09"/>
    <w:rsid w:val="00D52CC2"/>
    <w:rsid w:val="00D55F7C"/>
    <w:rsid w:val="00D5689B"/>
    <w:rsid w:val="00D628D5"/>
    <w:rsid w:val="00D6315A"/>
    <w:rsid w:val="00D66FE5"/>
    <w:rsid w:val="00D673A6"/>
    <w:rsid w:val="00D67D2B"/>
    <w:rsid w:val="00D7011A"/>
    <w:rsid w:val="00D7458A"/>
    <w:rsid w:val="00D80D4F"/>
    <w:rsid w:val="00D8202B"/>
    <w:rsid w:val="00D8330D"/>
    <w:rsid w:val="00D85390"/>
    <w:rsid w:val="00D857EB"/>
    <w:rsid w:val="00D8766B"/>
    <w:rsid w:val="00D90179"/>
    <w:rsid w:val="00D95D39"/>
    <w:rsid w:val="00D96769"/>
    <w:rsid w:val="00DA03A3"/>
    <w:rsid w:val="00DA4999"/>
    <w:rsid w:val="00DA71D3"/>
    <w:rsid w:val="00DB56EB"/>
    <w:rsid w:val="00DB5B77"/>
    <w:rsid w:val="00DB7989"/>
    <w:rsid w:val="00DD1177"/>
    <w:rsid w:val="00DD2887"/>
    <w:rsid w:val="00DD34ED"/>
    <w:rsid w:val="00DD3CCD"/>
    <w:rsid w:val="00DD4B06"/>
    <w:rsid w:val="00DD511B"/>
    <w:rsid w:val="00DD7AAF"/>
    <w:rsid w:val="00DE24EC"/>
    <w:rsid w:val="00DF04D0"/>
    <w:rsid w:val="00DF1A3F"/>
    <w:rsid w:val="00DF238A"/>
    <w:rsid w:val="00DF5507"/>
    <w:rsid w:val="00E004EF"/>
    <w:rsid w:val="00E0484B"/>
    <w:rsid w:val="00E07EFB"/>
    <w:rsid w:val="00E126B2"/>
    <w:rsid w:val="00E12E58"/>
    <w:rsid w:val="00E13737"/>
    <w:rsid w:val="00E2149E"/>
    <w:rsid w:val="00E25145"/>
    <w:rsid w:val="00E25A27"/>
    <w:rsid w:val="00E3663F"/>
    <w:rsid w:val="00E36EA2"/>
    <w:rsid w:val="00E4365E"/>
    <w:rsid w:val="00E445D9"/>
    <w:rsid w:val="00E47B3C"/>
    <w:rsid w:val="00E52630"/>
    <w:rsid w:val="00E65C38"/>
    <w:rsid w:val="00E73675"/>
    <w:rsid w:val="00E7626C"/>
    <w:rsid w:val="00E77BAA"/>
    <w:rsid w:val="00E77DA2"/>
    <w:rsid w:val="00E82EED"/>
    <w:rsid w:val="00E907FE"/>
    <w:rsid w:val="00E92CB8"/>
    <w:rsid w:val="00E94D03"/>
    <w:rsid w:val="00E94EFB"/>
    <w:rsid w:val="00E95567"/>
    <w:rsid w:val="00E969BE"/>
    <w:rsid w:val="00E9704F"/>
    <w:rsid w:val="00E97692"/>
    <w:rsid w:val="00EA389A"/>
    <w:rsid w:val="00EA5875"/>
    <w:rsid w:val="00EA7485"/>
    <w:rsid w:val="00EB17F0"/>
    <w:rsid w:val="00EB3BAE"/>
    <w:rsid w:val="00EB6E4E"/>
    <w:rsid w:val="00EC03F2"/>
    <w:rsid w:val="00EC4114"/>
    <w:rsid w:val="00EC51E4"/>
    <w:rsid w:val="00EC537D"/>
    <w:rsid w:val="00EC6D97"/>
    <w:rsid w:val="00ED0A2D"/>
    <w:rsid w:val="00ED1B0F"/>
    <w:rsid w:val="00ED2B90"/>
    <w:rsid w:val="00ED627C"/>
    <w:rsid w:val="00ED7E58"/>
    <w:rsid w:val="00ED7F13"/>
    <w:rsid w:val="00EE0AAD"/>
    <w:rsid w:val="00EE0CFD"/>
    <w:rsid w:val="00EE3251"/>
    <w:rsid w:val="00EE3732"/>
    <w:rsid w:val="00EE3A04"/>
    <w:rsid w:val="00EE5593"/>
    <w:rsid w:val="00EE6853"/>
    <w:rsid w:val="00EE7743"/>
    <w:rsid w:val="00EE7BB5"/>
    <w:rsid w:val="00EE7F32"/>
    <w:rsid w:val="00EE7F72"/>
    <w:rsid w:val="00EF0011"/>
    <w:rsid w:val="00EF28A9"/>
    <w:rsid w:val="00F01263"/>
    <w:rsid w:val="00F01C4B"/>
    <w:rsid w:val="00F030D1"/>
    <w:rsid w:val="00F036EC"/>
    <w:rsid w:val="00F04591"/>
    <w:rsid w:val="00F109F4"/>
    <w:rsid w:val="00F10B36"/>
    <w:rsid w:val="00F10C9A"/>
    <w:rsid w:val="00F1450D"/>
    <w:rsid w:val="00F16D7F"/>
    <w:rsid w:val="00F204A9"/>
    <w:rsid w:val="00F21C7E"/>
    <w:rsid w:val="00F24ACD"/>
    <w:rsid w:val="00F25BE1"/>
    <w:rsid w:val="00F3022B"/>
    <w:rsid w:val="00F30459"/>
    <w:rsid w:val="00F31654"/>
    <w:rsid w:val="00F323A2"/>
    <w:rsid w:val="00F3407C"/>
    <w:rsid w:val="00F345EA"/>
    <w:rsid w:val="00F34AB0"/>
    <w:rsid w:val="00F40E6D"/>
    <w:rsid w:val="00F44471"/>
    <w:rsid w:val="00F45938"/>
    <w:rsid w:val="00F47965"/>
    <w:rsid w:val="00F50CD2"/>
    <w:rsid w:val="00F522B0"/>
    <w:rsid w:val="00F52DC9"/>
    <w:rsid w:val="00F60056"/>
    <w:rsid w:val="00F62412"/>
    <w:rsid w:val="00F63398"/>
    <w:rsid w:val="00F70E4C"/>
    <w:rsid w:val="00F7374E"/>
    <w:rsid w:val="00F73D8D"/>
    <w:rsid w:val="00F75EC2"/>
    <w:rsid w:val="00F816F4"/>
    <w:rsid w:val="00F8241D"/>
    <w:rsid w:val="00F848C9"/>
    <w:rsid w:val="00F8503F"/>
    <w:rsid w:val="00F90227"/>
    <w:rsid w:val="00F93515"/>
    <w:rsid w:val="00F93E42"/>
    <w:rsid w:val="00F95E42"/>
    <w:rsid w:val="00FA089B"/>
    <w:rsid w:val="00FA2FC4"/>
    <w:rsid w:val="00FA68A8"/>
    <w:rsid w:val="00FB1CE3"/>
    <w:rsid w:val="00FB2ACF"/>
    <w:rsid w:val="00FB7FD2"/>
    <w:rsid w:val="00FC0083"/>
    <w:rsid w:val="00FD2CC9"/>
    <w:rsid w:val="00FE2690"/>
    <w:rsid w:val="00FE3264"/>
    <w:rsid w:val="00FF271E"/>
    <w:rsid w:val="00FF29AE"/>
    <w:rsid w:val="00FF33E2"/>
    <w:rsid w:val="00FF5B3D"/>
    <w:rsid w:val="7FBDD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qFormat/>
    <w:uiPriority w:val="99"/>
    <w:pPr>
      <w:snapToGrid w:val="0"/>
      <w:jc w:val="left"/>
    </w:pPr>
    <w:rPr>
      <w:sz w:val="18"/>
      <w:szCs w:val="18"/>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unhideWhenUsed/>
    <w:qFormat/>
    <w:uiPriority w:val="99"/>
    <w:rPr>
      <w:sz w:val="21"/>
      <w:szCs w:val="21"/>
    </w:rPr>
  </w:style>
  <w:style w:type="character" w:styleId="13">
    <w:name w:val="footnote reference"/>
    <w:basedOn w:val="10"/>
    <w:semiHidden/>
    <w:unhideWhenUsed/>
    <w:qFormat/>
    <w:uiPriority w:val="99"/>
    <w:rPr>
      <w:vertAlign w:val="superscript"/>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99"/>
    <w:pPr>
      <w:ind w:firstLine="420" w:firstLineChars="200"/>
    </w:pPr>
    <w:rPr>
      <w:rFonts w:ascii="Calibri" w:hAnsi="Calibri" w:eastAsia="宋体" w:cs="Times New Roman"/>
    </w:rPr>
  </w:style>
  <w:style w:type="character" w:customStyle="1" w:styleId="17">
    <w:name w:val="批注框文本 字符"/>
    <w:basedOn w:val="10"/>
    <w:link w:val="3"/>
    <w:semiHidden/>
    <w:qFormat/>
    <w:uiPriority w:val="99"/>
    <w:rPr>
      <w:sz w:val="18"/>
      <w:szCs w:val="18"/>
    </w:rPr>
  </w:style>
  <w:style w:type="paragraph" w:customStyle="1" w:styleId="18">
    <w:name w:val="表內文"/>
    <w:basedOn w:val="1"/>
    <w:qFormat/>
    <w:uiPriority w:val="0"/>
    <w:pPr>
      <w:snapToGrid w:val="0"/>
    </w:pPr>
    <w:rPr>
      <w:rFonts w:ascii="Times New Roman" w:hAnsi="Times New Roman" w:eastAsia="DFKai-SB" w:cs="Times New Roman"/>
      <w:kern w:val="0"/>
      <w:sz w:val="24"/>
      <w:szCs w:val="20"/>
      <w:lang w:eastAsia="zh-TW"/>
    </w:rPr>
  </w:style>
  <w:style w:type="character" w:customStyle="1" w:styleId="19">
    <w:name w:val="脚注文本 字符"/>
    <w:basedOn w:val="10"/>
    <w:link w:val="6"/>
    <w:semiHidden/>
    <w:qFormat/>
    <w:uiPriority w:val="99"/>
    <w:rPr>
      <w:sz w:val="18"/>
      <w:szCs w:val="18"/>
    </w:rPr>
  </w:style>
  <w:style w:type="character" w:customStyle="1" w:styleId="20">
    <w:name w:val="批注文字 字符"/>
    <w:basedOn w:val="10"/>
    <w:link w:val="2"/>
    <w:qFormat/>
    <w:uiPriority w:val="99"/>
  </w:style>
  <w:style w:type="character" w:customStyle="1" w:styleId="21">
    <w:name w:val="批注主题 字符"/>
    <w:basedOn w:val="20"/>
    <w:link w:val="7"/>
    <w:semiHidden/>
    <w:qFormat/>
    <w:uiPriority w:val="99"/>
    <w:rPr>
      <w:b/>
      <w:bCs/>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csfff33906"/>
    <w:basedOn w:val="1"/>
    <w:qFormat/>
    <w:uiPriority w:val="0"/>
    <w:pPr>
      <w:widowControl/>
      <w:spacing w:line="520" w:lineRule="atLeast"/>
      <w:jc w:val="left"/>
    </w:pPr>
    <w:rPr>
      <w:rFonts w:ascii="宋体" w:hAnsi="宋体" w:eastAsia="宋体" w:cs="宋体"/>
      <w:kern w:val="0"/>
      <w:sz w:val="24"/>
      <w:szCs w:val="24"/>
    </w:rPr>
  </w:style>
  <w:style w:type="paragraph" w:customStyle="1" w:styleId="24">
    <w:name w:val="csce4fff51"/>
    <w:basedOn w:val="1"/>
    <w:qFormat/>
    <w:uiPriority w:val="0"/>
    <w:pPr>
      <w:widowControl/>
      <w:spacing w:line="560" w:lineRule="atLeast"/>
      <w:ind w:firstLine="640"/>
      <w:jc w:val="left"/>
    </w:pPr>
    <w:rPr>
      <w:rFonts w:ascii="宋体" w:hAnsi="宋体" w:eastAsia="宋体" w:cs="宋体"/>
      <w:kern w:val="0"/>
      <w:sz w:val="24"/>
      <w:szCs w:val="24"/>
    </w:rPr>
  </w:style>
  <w:style w:type="paragraph" w:customStyle="1" w:styleId="25">
    <w:name w:val="cs56bed8fd"/>
    <w:basedOn w:val="1"/>
    <w:qFormat/>
    <w:uiPriority w:val="0"/>
    <w:pPr>
      <w:widowControl/>
      <w:spacing w:line="560" w:lineRule="atLeast"/>
      <w:ind w:firstLine="640"/>
      <w:jc w:val="right"/>
    </w:pPr>
    <w:rPr>
      <w:rFonts w:ascii="宋体" w:hAnsi="宋体" w:eastAsia="宋体" w:cs="宋体"/>
      <w:kern w:val="0"/>
      <w:sz w:val="24"/>
      <w:szCs w:val="24"/>
    </w:rPr>
  </w:style>
  <w:style w:type="character" w:customStyle="1" w:styleId="26">
    <w:name w:val="csf07425c11"/>
    <w:basedOn w:val="10"/>
    <w:qFormat/>
    <w:uiPriority w:val="0"/>
    <w:rPr>
      <w:rFonts w:hint="eastAsia" w:ascii="Arial Unicode MS" w:hAnsi="Arial Unicode MS" w:eastAsia="Arial Unicode MS" w:cs="Arial Unicode MS"/>
      <w:color w:val="000000"/>
      <w:sz w:val="32"/>
      <w:szCs w:val="32"/>
      <w:shd w:val="clear" w:color="auto" w:fill="auto"/>
    </w:rPr>
  </w:style>
  <w:style w:type="character" w:customStyle="1" w:styleId="27">
    <w:name w:val="csc899a0441"/>
    <w:basedOn w:val="10"/>
    <w:qFormat/>
    <w:uiPriority w:val="0"/>
    <w:rPr>
      <w:rFonts w:hint="eastAsia" w:ascii="宋体" w:hAnsi="宋体" w:eastAsia="宋体"/>
      <w:color w:val="000000"/>
      <w:sz w:val="32"/>
      <w:szCs w:val="32"/>
      <w:shd w:val="clear" w:color="auto" w:fill="auto"/>
    </w:rPr>
  </w:style>
  <w:style w:type="character" w:customStyle="1" w:styleId="28">
    <w:name w:val="csd660434f1"/>
    <w:basedOn w:val="10"/>
    <w:qFormat/>
    <w:uiPriority w:val="0"/>
    <w:rPr>
      <w:rFonts w:hint="default" w:ascii="Microsoft Sans Serif" w:hAnsi="Microsoft Sans Serif" w:cs="Microsoft Sans Serif"/>
      <w:color w:val="000000"/>
      <w:sz w:val="32"/>
      <w:szCs w:val="32"/>
      <w:shd w:val="clear" w:color="auto" w:fill="auto"/>
    </w:rPr>
  </w:style>
  <w:style w:type="paragraph" w:customStyle="1" w:styleId="2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DB6BED9E-3290-484F-9ED2-0AA264DDD971}">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10</Pages>
  <Words>655</Words>
  <Characters>3739</Characters>
  <Lines>31</Lines>
  <Paragraphs>8</Paragraphs>
  <TotalTime>4</TotalTime>
  <ScaleCrop>false</ScaleCrop>
  <LinksUpToDate>false</LinksUpToDate>
  <CharactersWithSpaces>4386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2025-10-31T18:17:00Z</dcterms:created>
  <dc:creator>曾致进</dc:creator>
  <cp:lastModifiedBy>zeng.zhijin</cp:lastModifiedBy>
  <cp:lastPrinted>2025-08-29T09:44:00Z</cp:lastPrinted>
  <dcterms:modified xsi:type="dcterms:W3CDTF">2025-11-04T16:15:47Z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C69A6338D2BB04DF33B60969D1CE389D</vt:lpwstr>
  </property>
</Properties>
</file>