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560" w:lineRule="exact"/>
        <w:jc w:val="center"/>
        <w:outlineLvl w:val="0"/>
        <w:rPr>
          <w:rFonts w:eastAsia="方正大标宋简体"/>
          <w:b/>
          <w:bCs/>
          <w:kern w:val="44"/>
          <w:sz w:val="44"/>
          <w:szCs w:val="44"/>
        </w:rPr>
      </w:pPr>
      <w:bookmarkStart w:id="0" w:name="_Toc199506232"/>
      <w:r>
        <w:rPr>
          <w:rFonts w:hint="eastAsia" w:eastAsia="方正大标宋简体"/>
          <w:b/>
          <w:bCs/>
          <w:kern w:val="44"/>
          <w:sz w:val="44"/>
          <w:szCs w:val="44"/>
        </w:rPr>
        <w:t>上海期货交易所铸造铝合金期货业务细则</w:t>
      </w:r>
      <w:bookmarkEnd w:id="0"/>
    </w:p>
    <w:p>
      <w:pPr>
        <w:spacing w:before="156" w:beforeLines="50"/>
        <w:jc w:val="center"/>
        <w:rPr>
          <w:rFonts w:ascii="黑体" w:hAnsi="黑体" w:eastAsia="黑体"/>
          <w:sz w:val="30"/>
          <w:szCs w:val="30"/>
        </w:rPr>
      </w:pPr>
    </w:p>
    <w:p>
      <w:pPr>
        <w:spacing w:before="156" w:beforeLines="50"/>
        <w:jc w:val="center"/>
        <w:rPr>
          <w:rFonts w:ascii="黑体" w:hAnsi="黑体" w:eastAsia="黑体"/>
          <w:sz w:val="30"/>
          <w:szCs w:val="30"/>
        </w:rPr>
      </w:pPr>
      <w:r>
        <w:rPr>
          <w:rFonts w:hint="eastAsia" w:ascii="黑体" w:hAnsi="黑体" w:eastAsia="黑体"/>
          <w:sz w:val="30"/>
          <w:szCs w:val="30"/>
        </w:rPr>
        <w:t>第一章  总 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第一条</w:t>
      </w:r>
      <w:r>
        <w:rPr>
          <w:rFonts w:hint="eastAsia" w:eastAsia="方正仿宋简体"/>
          <w:color w:val="000000"/>
          <w:sz w:val="30"/>
          <w:szCs w:val="30"/>
        </w:rPr>
        <w:t xml:space="preserve"> 为了规范上海期货交易所（以下简称交易所）铸造铝合金期货相关业务，根据《上海期货交易所交易规则》《上海期货交易所铸造铝合金期货合约》以及相关业务规则，制定本细则。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第二条</w:t>
      </w:r>
      <w:r>
        <w:rPr>
          <w:rFonts w:hint="eastAsia" w:eastAsia="方正仿宋简体"/>
          <w:color w:val="000000"/>
          <w:sz w:val="30"/>
          <w:szCs w:val="30"/>
        </w:rPr>
        <w:t xml:space="preserve"> 交易所、会员、客户、交割库、指定检验机构、期货保证金存管机构以及期货市场其他参与者应当遵守本细则。</w:t>
      </w:r>
    </w:p>
    <w:p>
      <w:pPr>
        <w:spacing w:before="156" w:beforeLines="50"/>
        <w:jc w:val="center"/>
        <w:rPr>
          <w:rFonts w:ascii="黑体" w:hAnsi="黑体" w:eastAsia="黑体"/>
          <w:sz w:val="30"/>
          <w:szCs w:val="30"/>
        </w:rPr>
      </w:pPr>
      <w:r>
        <w:rPr>
          <w:rFonts w:hint="eastAsia" w:ascii="黑体" w:hAnsi="黑体" w:eastAsia="黑体"/>
          <w:sz w:val="30"/>
          <w:szCs w:val="30"/>
        </w:rPr>
        <w:t>第二章 交易</w:t>
      </w:r>
      <w:r>
        <w:rPr>
          <w:rFonts w:ascii="黑体" w:hAnsi="黑体" w:eastAsia="黑体"/>
          <w:sz w:val="30"/>
          <w:szCs w:val="30"/>
        </w:rPr>
        <w:t>业务</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第三条</w:t>
      </w:r>
      <w:r>
        <w:rPr>
          <w:rFonts w:hint="eastAsia" w:eastAsia="方正仿宋简体"/>
          <w:color w:val="000000"/>
          <w:sz w:val="30"/>
          <w:szCs w:val="30"/>
        </w:rPr>
        <w:t xml:space="preserve"> </w:t>
      </w:r>
      <w:r>
        <w:rPr>
          <w:rFonts w:eastAsia="方正仿宋简体"/>
          <w:color w:val="000000"/>
          <w:sz w:val="30"/>
          <w:szCs w:val="30"/>
        </w:rPr>
        <w:t>铸造铝合金期货合约的交易单位为10吨/手。</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第四条</w:t>
      </w:r>
      <w:r>
        <w:rPr>
          <w:rFonts w:hint="eastAsia" w:eastAsia="方正仿宋简体"/>
          <w:color w:val="000000"/>
          <w:sz w:val="30"/>
          <w:szCs w:val="30"/>
        </w:rPr>
        <w:t xml:space="preserve"> </w:t>
      </w:r>
      <w:r>
        <w:rPr>
          <w:rFonts w:eastAsia="方正仿宋简体"/>
          <w:color w:val="000000"/>
          <w:sz w:val="30"/>
          <w:szCs w:val="30"/>
        </w:rPr>
        <w:t>铸造铝合金期货合约的报价单位为元（人民币）/吨。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第五条</w:t>
      </w:r>
      <w:r>
        <w:rPr>
          <w:rFonts w:hint="eastAsia" w:eastAsia="方正仿宋简体"/>
          <w:color w:val="000000"/>
          <w:sz w:val="30"/>
          <w:szCs w:val="30"/>
        </w:rPr>
        <w:t xml:space="preserve"> </w:t>
      </w:r>
      <w:r>
        <w:rPr>
          <w:rFonts w:eastAsia="方正仿宋简体"/>
          <w:color w:val="000000"/>
          <w:sz w:val="30"/>
          <w:szCs w:val="30"/>
        </w:rPr>
        <w:t>铸造铝合金期货合约的最小变动价位为5元/吨。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第六条</w:t>
      </w:r>
      <w:r>
        <w:rPr>
          <w:rFonts w:hint="eastAsia" w:eastAsia="方正仿宋简体"/>
          <w:color w:val="000000"/>
          <w:sz w:val="30"/>
          <w:szCs w:val="30"/>
        </w:rPr>
        <w:t xml:space="preserve"> </w:t>
      </w:r>
      <w:r>
        <w:rPr>
          <w:rFonts w:eastAsia="方正仿宋简体"/>
          <w:color w:val="000000"/>
          <w:sz w:val="30"/>
          <w:szCs w:val="30"/>
        </w:rPr>
        <w:t>铸造铝合金期货合约月份为1~12月。</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第七条</w:t>
      </w:r>
      <w:r>
        <w:rPr>
          <w:rFonts w:hint="eastAsia" w:eastAsia="方正仿宋简体"/>
          <w:color w:val="000000"/>
          <w:sz w:val="30"/>
          <w:szCs w:val="30"/>
        </w:rPr>
        <w:t xml:space="preserve"> </w:t>
      </w:r>
      <w:r>
        <w:rPr>
          <w:rFonts w:eastAsia="方正仿宋简体"/>
          <w:color w:val="000000"/>
          <w:sz w:val="30"/>
          <w:szCs w:val="30"/>
        </w:rPr>
        <w:t>铸造铝合金期货合约的交易时间为上午9:00~11:30 ，下午1:30~3:00和交易所规定的其他交易时间。</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第八条</w:t>
      </w:r>
      <w:r>
        <w:rPr>
          <w:rFonts w:hint="eastAsia" w:eastAsia="方正仿宋简体"/>
          <w:color w:val="000000"/>
          <w:sz w:val="30"/>
          <w:szCs w:val="30"/>
        </w:rPr>
        <w:t xml:space="preserve"> </w:t>
      </w:r>
      <w:r>
        <w:rPr>
          <w:rFonts w:eastAsia="方正仿宋简体"/>
          <w:color w:val="000000"/>
          <w:sz w:val="30"/>
          <w:szCs w:val="30"/>
        </w:rPr>
        <w:t>铸造铝合金期货合约的最后交易日为合约月份的15日，遇国家法定节假日顺延，春节月份等最后交易日交易所可另行调整并通知。</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第九条</w:t>
      </w:r>
      <w:r>
        <w:rPr>
          <w:rFonts w:hint="eastAsia" w:eastAsia="方正仿宋简体"/>
          <w:color w:val="000000"/>
          <w:sz w:val="30"/>
          <w:szCs w:val="30"/>
        </w:rPr>
        <w:t xml:space="preserve"> </w:t>
      </w:r>
      <w:r>
        <w:rPr>
          <w:rFonts w:eastAsia="方正仿宋简体"/>
          <w:color w:val="000000"/>
          <w:sz w:val="30"/>
          <w:szCs w:val="30"/>
        </w:rPr>
        <w:t>铸造铝合金期货合约的交易代码为AD。</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第十条</w:t>
      </w:r>
      <w:r>
        <w:rPr>
          <w:rFonts w:eastAsia="方正仿宋简体"/>
          <w:color w:val="000000"/>
          <w:sz w:val="30"/>
          <w:szCs w:val="30"/>
        </w:rPr>
        <w:t> 铸造铝合金期货套期保值交易</w:t>
      </w:r>
      <w:r>
        <w:rPr>
          <w:rFonts w:hint="eastAsia" w:eastAsia="方正仿宋简体"/>
          <w:color w:val="000000"/>
          <w:sz w:val="30"/>
          <w:szCs w:val="30"/>
        </w:rPr>
        <w:t>持仓额度</w:t>
      </w:r>
      <w:r>
        <w:rPr>
          <w:rFonts w:eastAsia="方正仿宋简体"/>
          <w:color w:val="000000"/>
          <w:sz w:val="30"/>
          <w:szCs w:val="30"/>
        </w:rPr>
        <w:t>和套利交易</w:t>
      </w:r>
      <w:r>
        <w:rPr>
          <w:rFonts w:hint="eastAsia" w:eastAsia="方正仿宋简体"/>
          <w:color w:val="000000"/>
          <w:sz w:val="30"/>
          <w:szCs w:val="30"/>
        </w:rPr>
        <w:t>持仓额度</w:t>
      </w:r>
      <w:r>
        <w:rPr>
          <w:rFonts w:eastAsia="方正仿宋简体"/>
          <w:color w:val="000000"/>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第十一条</w:t>
      </w:r>
      <w:r>
        <w:rPr>
          <w:rFonts w:eastAsia="方正仿宋简体"/>
          <w:color w:val="000000"/>
          <w:sz w:val="30"/>
          <w:szCs w:val="30"/>
        </w:rPr>
        <w:t> </w:t>
      </w:r>
      <w:r>
        <w:rPr>
          <w:rFonts w:hint="eastAsia" w:eastAsia="方正仿宋简体"/>
          <w:color w:val="000000"/>
          <w:sz w:val="30"/>
          <w:szCs w:val="30"/>
        </w:rPr>
        <w:t>按合约方式申请</w:t>
      </w:r>
      <w:r>
        <w:rPr>
          <w:rFonts w:eastAsia="方正仿宋简体"/>
          <w:color w:val="000000"/>
          <w:sz w:val="30"/>
          <w:szCs w:val="30"/>
        </w:rPr>
        <w:t>铸造铝合金期货一般月份套期保值</w:t>
      </w:r>
      <w:r>
        <w:rPr>
          <w:rFonts w:hint="eastAsia" w:eastAsia="方正仿宋简体"/>
          <w:color w:val="000000"/>
          <w:sz w:val="30"/>
          <w:szCs w:val="30"/>
        </w:rPr>
        <w:t>交易持仓额度的，</w:t>
      </w:r>
      <w:r>
        <w:rPr>
          <w:rFonts w:eastAsia="方正仿宋简体"/>
          <w:color w:val="000000"/>
          <w:sz w:val="30"/>
          <w:szCs w:val="30"/>
        </w:rPr>
        <w:t>应当在该套期保值所涉合约交割月前第二月的最后一个交易日之前提出，逾期交易所不再受理。</w:t>
      </w:r>
      <w:r>
        <w:rPr>
          <w:rFonts w:hint="eastAsia" w:eastAsia="方正仿宋简体"/>
          <w:color w:val="000000"/>
          <w:sz w:val="30"/>
          <w:szCs w:val="30"/>
        </w:rPr>
        <w:t>按品种方式申请一般月份套期保值交易持仓额度的，按照《上海期货交易所套期保值交易管理办法》相关</w:t>
      </w:r>
      <w:r>
        <w:rPr>
          <w:rFonts w:eastAsia="方正仿宋简体"/>
          <w:color w:val="000000"/>
          <w:sz w:val="30"/>
          <w:szCs w:val="30"/>
        </w:rPr>
        <w:t>规定</w:t>
      </w:r>
      <w:r>
        <w:rPr>
          <w:rFonts w:hint="eastAsia" w:eastAsia="方正仿宋简体"/>
          <w:color w:val="000000"/>
          <w:sz w:val="30"/>
          <w:szCs w:val="30"/>
        </w:rPr>
        <w:t>执行。</w:t>
      </w:r>
    </w:p>
    <w:p>
      <w:pPr>
        <w:spacing w:line="560" w:lineRule="exact"/>
        <w:ind w:firstLine="600" w:firstLineChars="200"/>
        <w:rPr>
          <w:rFonts w:eastAsia="方正仿宋简体"/>
          <w:color w:val="000000"/>
          <w:sz w:val="30"/>
          <w:szCs w:val="30"/>
        </w:rPr>
      </w:pPr>
      <w:r>
        <w:rPr>
          <w:rFonts w:eastAsia="方正仿宋简体"/>
          <w:color w:val="000000"/>
          <w:sz w:val="30"/>
          <w:szCs w:val="30"/>
        </w:rPr>
        <w:t>铸造铝合金期货临近交割月份套期保值交易</w:t>
      </w:r>
      <w:r>
        <w:rPr>
          <w:rFonts w:hint="eastAsia" w:eastAsia="方正仿宋简体"/>
          <w:color w:val="000000"/>
          <w:sz w:val="30"/>
          <w:szCs w:val="30"/>
        </w:rPr>
        <w:t>持仓额度</w:t>
      </w:r>
      <w:r>
        <w:rPr>
          <w:rFonts w:eastAsia="方正仿宋简体"/>
          <w:color w:val="000000"/>
          <w:sz w:val="30"/>
          <w:szCs w:val="30"/>
        </w:rPr>
        <w:t>的申请应当在该套期保值所涉合约交割月前第</w:t>
      </w:r>
      <w:r>
        <w:rPr>
          <w:rFonts w:hint="eastAsia" w:eastAsia="方正仿宋简体"/>
          <w:color w:val="000000"/>
          <w:sz w:val="30"/>
          <w:szCs w:val="30"/>
        </w:rPr>
        <w:t>二</w:t>
      </w:r>
      <w:r>
        <w:rPr>
          <w:rFonts w:eastAsia="方正仿宋简体"/>
          <w:color w:val="000000"/>
          <w:sz w:val="30"/>
          <w:szCs w:val="30"/>
        </w:rPr>
        <w:t>月的第一个交易日至交割月前第一月的最后一个交易日之间提出，逾期交易所不再受理；铸造铝合金期货临近交割月份套利交易</w:t>
      </w:r>
      <w:r>
        <w:rPr>
          <w:rFonts w:hint="eastAsia" w:eastAsia="方正仿宋简体"/>
          <w:color w:val="000000"/>
          <w:sz w:val="30"/>
          <w:szCs w:val="30"/>
        </w:rPr>
        <w:t>持仓额度</w:t>
      </w:r>
      <w:r>
        <w:rPr>
          <w:rFonts w:eastAsia="方正仿宋简体"/>
          <w:color w:val="000000"/>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第十二条</w:t>
      </w:r>
      <w:r>
        <w:rPr>
          <w:rFonts w:hint="eastAsia" w:eastAsia="方正仿宋简体"/>
          <w:color w:val="000000"/>
          <w:sz w:val="30"/>
          <w:szCs w:val="30"/>
        </w:rPr>
        <w:t xml:space="preserve"> </w:t>
      </w:r>
      <w:r>
        <w:rPr>
          <w:rFonts w:eastAsia="方正仿宋简体"/>
          <w:color w:val="000000"/>
          <w:sz w:val="30"/>
          <w:szCs w:val="30"/>
        </w:rPr>
        <w:t>铸造铝合金期货套期保值交易</w:t>
      </w:r>
      <w:r>
        <w:rPr>
          <w:rFonts w:hint="eastAsia" w:eastAsia="方正仿宋简体"/>
          <w:color w:val="000000"/>
          <w:sz w:val="30"/>
          <w:szCs w:val="30"/>
        </w:rPr>
        <w:t>持仓额度</w:t>
      </w:r>
      <w:r>
        <w:rPr>
          <w:rFonts w:eastAsia="方正仿宋简体"/>
          <w:color w:val="000000"/>
          <w:sz w:val="30"/>
          <w:szCs w:val="30"/>
        </w:rPr>
        <w:t>自交割月份第一交易日起不得重复使用。</w:t>
      </w:r>
    </w:p>
    <w:p>
      <w:pPr>
        <w:spacing w:before="156" w:beforeLines="50"/>
        <w:jc w:val="center"/>
        <w:rPr>
          <w:rFonts w:ascii="黑体" w:hAnsi="黑体" w:eastAsia="黑体"/>
          <w:sz w:val="30"/>
          <w:szCs w:val="30"/>
        </w:rPr>
      </w:pPr>
      <w:r>
        <w:rPr>
          <w:rFonts w:hint="eastAsia" w:ascii="黑体" w:hAnsi="黑体" w:eastAsia="黑体"/>
          <w:sz w:val="30"/>
          <w:szCs w:val="30"/>
        </w:rPr>
        <w:t>第三章</w:t>
      </w:r>
      <w:r>
        <w:rPr>
          <w:rFonts w:ascii="黑体" w:hAnsi="黑体" w:eastAsia="黑体"/>
          <w:sz w:val="30"/>
          <w:szCs w:val="30"/>
        </w:rPr>
        <w:t xml:space="preserve"> </w:t>
      </w:r>
      <w:r>
        <w:rPr>
          <w:rFonts w:hint="eastAsia" w:ascii="黑体" w:hAnsi="黑体" w:eastAsia="黑体"/>
          <w:sz w:val="30"/>
          <w:szCs w:val="30"/>
        </w:rPr>
        <w:t>交割业务</w:t>
      </w:r>
    </w:p>
    <w:p>
      <w:pPr>
        <w:spacing w:line="560" w:lineRule="exact"/>
        <w:jc w:val="center"/>
        <w:rPr>
          <w:rFonts w:eastAsia="方正仿宋简体"/>
          <w:b/>
          <w:color w:val="000000"/>
          <w:sz w:val="30"/>
          <w:szCs w:val="30"/>
        </w:rPr>
      </w:pPr>
      <w:r>
        <w:rPr>
          <w:rFonts w:hint="eastAsia" w:eastAsia="方正仿宋简体"/>
          <w:b/>
          <w:color w:val="000000"/>
          <w:sz w:val="30"/>
          <w:szCs w:val="30"/>
        </w:rPr>
        <w:t>第一节 一般规定</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第十三条</w:t>
      </w:r>
      <w:r>
        <w:rPr>
          <w:rFonts w:hint="eastAsia" w:eastAsia="方正仿宋简体"/>
          <w:color w:val="000000"/>
          <w:sz w:val="30"/>
          <w:szCs w:val="30"/>
        </w:rPr>
        <w:t xml:space="preserve"> 铸造铝合金期货适用期货转现货、仓库交割。</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铸造铝合金期货实行完税交割。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十四</w:t>
      </w:r>
      <w:r>
        <w:rPr>
          <w:rFonts w:eastAsia="方正仿宋简体"/>
          <w:b/>
          <w:color w:val="000000"/>
          <w:sz w:val="30"/>
          <w:szCs w:val="30"/>
        </w:rPr>
        <w:t>条</w:t>
      </w:r>
      <w:r>
        <w:rPr>
          <w:rFonts w:hint="eastAsia" w:eastAsia="方正仿宋简体"/>
          <w:color w:val="000000"/>
          <w:sz w:val="30"/>
          <w:szCs w:val="30"/>
        </w:rPr>
        <w:t xml:space="preserve"> 铸造铝合金</w:t>
      </w:r>
      <w:r>
        <w:rPr>
          <w:rFonts w:eastAsia="方正仿宋简体"/>
          <w:color w:val="000000"/>
          <w:sz w:val="30"/>
          <w:szCs w:val="30"/>
        </w:rPr>
        <w:t>交割品级</w:t>
      </w:r>
      <w:r>
        <w:rPr>
          <w:rFonts w:hint="eastAsia" w:eastAsia="方正仿宋简体"/>
          <w:color w:val="000000"/>
          <w:sz w:val="30"/>
          <w:szCs w:val="30"/>
        </w:rPr>
        <w:t>详</w:t>
      </w:r>
      <w:r>
        <w:rPr>
          <w:rFonts w:eastAsia="方正仿宋简体"/>
          <w:color w:val="000000"/>
          <w:sz w:val="30"/>
          <w:szCs w:val="30"/>
        </w:rPr>
        <w:t>见《上海期货交易所铸造铝合金期货合约》。</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第十五条</w:t>
      </w:r>
      <w:r>
        <w:rPr>
          <w:rFonts w:eastAsia="方正仿宋简体"/>
          <w:color w:val="000000"/>
          <w:sz w:val="30"/>
          <w:szCs w:val="30"/>
        </w:rPr>
        <w:t xml:space="preserve"> </w:t>
      </w:r>
      <w:r>
        <w:rPr>
          <w:rFonts w:hint="eastAsia" w:eastAsia="方正仿宋简体"/>
          <w:color w:val="000000"/>
          <w:sz w:val="30"/>
          <w:szCs w:val="30"/>
        </w:rPr>
        <w:t>交割商品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铸造铝合金期货交割商品应当是在交易所注册的生产企业生产的注册商标的商品。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交割铸造铝合金的检验方法应当按照《上海期货交易所有色金属交割商品管理规定》的要求执行。</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铸造铝合金仓库每一标准仓单的有效期为该批次产品最早生产日期起360天以内，并且该批次产品应在最早生产日期起180天内进入交割仓库方可制成标准仓单。</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十六</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交割商品的</w:t>
      </w:r>
      <w:r>
        <w:rPr>
          <w:rFonts w:hint="eastAsia" w:eastAsia="方正仿宋简体"/>
          <w:color w:val="000000"/>
          <w:sz w:val="30"/>
          <w:szCs w:val="30"/>
        </w:rPr>
        <w:t>规格与</w:t>
      </w:r>
      <w:r>
        <w:rPr>
          <w:rFonts w:eastAsia="方正仿宋简体"/>
          <w:color w:val="000000"/>
          <w:sz w:val="30"/>
          <w:szCs w:val="30"/>
        </w:rPr>
        <w:t>包装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一）每一标准仓单的铸造铝合金，应当是同一生产企业生产、同一牌号、同一注册商标、同一块形、同一包装数量（捆重近似）的商品组成，并且组成每一标准仓单的铸造铝合金生产日期应当不超过连续60日，且以最早日期作为该标准仓单的生产日期。注册生产企业自行选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eastAsia="方正仿宋简体"/>
          <w:color w:val="000000"/>
          <w:sz w:val="30"/>
          <w:szCs w:val="30"/>
        </w:rPr>
        <w:t>700KG</w:t>
      </w:r>
      <w:r>
        <w:rPr>
          <w:rFonts w:hint="eastAsia" w:eastAsia="方正仿宋简体"/>
          <w:color w:val="000000"/>
          <w:sz w:val="30"/>
          <w:szCs w:val="30"/>
        </w:rPr>
        <w:t>至</w:t>
      </w:r>
      <w:r>
        <w:rPr>
          <w:rFonts w:eastAsia="方正仿宋简体"/>
          <w:color w:val="000000"/>
          <w:sz w:val="30"/>
          <w:szCs w:val="30"/>
        </w:rPr>
        <w:t>1000KG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w:t>
      </w:r>
      <w:r>
        <w:rPr>
          <w:rFonts w:hint="eastAsia" w:eastAsia="方正仿宋简体"/>
          <w:color w:val="000000"/>
          <w:sz w:val="30"/>
          <w:szCs w:val="30"/>
        </w:rPr>
        <w:t>二</w:t>
      </w:r>
      <w:r>
        <w:rPr>
          <w:rFonts w:eastAsia="方正仿宋简体"/>
          <w:color w:val="000000"/>
          <w:sz w:val="30"/>
          <w:szCs w:val="30"/>
        </w:rPr>
        <w:t>）到库</w:t>
      </w:r>
      <w:r>
        <w:rPr>
          <w:rFonts w:hint="eastAsia" w:eastAsia="方正仿宋简体"/>
          <w:color w:val="000000"/>
          <w:sz w:val="30"/>
          <w:szCs w:val="30"/>
        </w:rPr>
        <w:t>商品中</w:t>
      </w:r>
      <w:r>
        <w:rPr>
          <w:rFonts w:eastAsia="方正仿宋简体"/>
          <w:color w:val="000000"/>
          <w:sz w:val="30"/>
          <w:szCs w:val="30"/>
        </w:rPr>
        <w:t>，遇有</w:t>
      </w:r>
      <w:r>
        <w:rPr>
          <w:rFonts w:hint="eastAsia" w:eastAsia="方正仿宋简体"/>
          <w:color w:val="000000"/>
          <w:sz w:val="30"/>
          <w:szCs w:val="30"/>
        </w:rPr>
        <w:t>聚酯打包带</w:t>
      </w:r>
      <w:r>
        <w:rPr>
          <w:rFonts w:eastAsia="方正仿宋简体"/>
          <w:color w:val="000000"/>
          <w:sz w:val="30"/>
          <w:szCs w:val="30"/>
        </w:rPr>
        <w:t>断裂的捆件及散块商品，应当重新组合，用规定的</w:t>
      </w:r>
      <w:r>
        <w:rPr>
          <w:rFonts w:hint="eastAsia" w:eastAsia="方正仿宋简体"/>
          <w:color w:val="000000"/>
          <w:sz w:val="30"/>
          <w:szCs w:val="30"/>
        </w:rPr>
        <w:t>打包带</w:t>
      </w:r>
      <w:r>
        <w:rPr>
          <w:rFonts w:eastAsia="方正仿宋简体"/>
          <w:color w:val="000000"/>
          <w:sz w:val="30"/>
          <w:szCs w:val="30"/>
        </w:rPr>
        <w:t>捆扎紧固，方可用于交割。包装费用由货主承担。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（三）铸造铝合金每锭重量为</w:t>
      </w:r>
      <w:r>
        <w:rPr>
          <w:rFonts w:eastAsia="方正仿宋简体"/>
          <w:color w:val="000000"/>
          <w:sz w:val="30"/>
          <w:szCs w:val="30"/>
        </w:rPr>
        <w:t>6KG</w:t>
      </w:r>
      <w:r>
        <w:rPr>
          <w:rFonts w:hint="eastAsia" w:eastAsia="方正仿宋简体"/>
          <w:color w:val="000000"/>
          <w:sz w:val="30"/>
          <w:szCs w:val="30"/>
        </w:rPr>
        <w:t>±</w:t>
      </w:r>
      <w:r>
        <w:rPr>
          <w:rFonts w:eastAsia="方正仿宋简体"/>
          <w:color w:val="000000"/>
          <w:sz w:val="30"/>
          <w:szCs w:val="30"/>
        </w:rPr>
        <w:t>1KG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（四）到库商品应覆盖塑料薄膜。交割仓库应对</w:t>
      </w:r>
      <w:r>
        <w:rPr>
          <w:rFonts w:eastAsia="方正仿宋简体"/>
          <w:color w:val="000000"/>
          <w:sz w:val="30"/>
          <w:szCs w:val="30"/>
        </w:rPr>
        <w:t>到库</w:t>
      </w:r>
      <w:r>
        <w:rPr>
          <w:rFonts w:hint="eastAsia" w:eastAsia="方正仿宋简体"/>
          <w:color w:val="000000"/>
          <w:sz w:val="30"/>
          <w:szCs w:val="30"/>
        </w:rPr>
        <w:t>商品进行外观检查，铸锭表面应整洁，不应有霉斑及外来夹杂物，允许有轻微的夹渣、修整痕迹、因浇铸收缩而引起的轻微裂纹存在，如发现有明显雨渍、污染等影响使用的情况，不得用于交割。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十七</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交割商品必备单证</w:t>
      </w:r>
    </w:p>
    <w:p>
      <w:pPr>
        <w:spacing w:line="560" w:lineRule="exact"/>
        <w:ind w:firstLine="600" w:firstLineChars="200"/>
        <w:rPr>
          <w:rFonts w:eastAsia="方正仿宋简体"/>
          <w:color w:val="000000"/>
          <w:sz w:val="30"/>
          <w:szCs w:val="30"/>
        </w:rPr>
      </w:pPr>
      <w:r>
        <w:rPr>
          <w:rFonts w:eastAsia="方正仿宋简体"/>
          <w:color w:val="000000"/>
          <w:sz w:val="30"/>
          <w:szCs w:val="30"/>
        </w:rPr>
        <w:t>（一）国产商品：应当提供注册生产企业出具的产品质量证明书。</w:t>
      </w:r>
    </w:p>
    <w:p>
      <w:pPr>
        <w:spacing w:line="560" w:lineRule="exact"/>
        <w:ind w:firstLine="600" w:firstLineChars="200"/>
        <w:rPr>
          <w:rFonts w:eastAsia="方正仿宋简体"/>
          <w:color w:val="000000"/>
          <w:sz w:val="30"/>
          <w:szCs w:val="30"/>
        </w:rPr>
      </w:pPr>
      <w:r>
        <w:rPr>
          <w:rFonts w:eastAsia="方正仿宋简体"/>
          <w:color w:val="000000"/>
          <w:sz w:val="30"/>
          <w:szCs w:val="30"/>
        </w:rPr>
        <w:t>（二）进口商品：应当提供产品质量证明书、产地证明书、</w:t>
      </w:r>
      <w:r>
        <w:rPr>
          <w:rFonts w:hint="eastAsia" w:eastAsia="方正仿宋简体"/>
          <w:color w:val="000000"/>
          <w:sz w:val="30"/>
          <w:szCs w:val="30"/>
        </w:rPr>
        <w:t>交易所指定检验机构出具的质检证书（夹渣量</w:t>
      </w:r>
      <w:r>
        <w:rPr>
          <w:rFonts w:eastAsia="方正仿宋简体"/>
          <w:color w:val="000000"/>
          <w:sz w:val="30"/>
          <w:szCs w:val="30"/>
        </w:rPr>
        <w:t>除外</w:t>
      </w:r>
      <w:r>
        <w:rPr>
          <w:rFonts w:hint="eastAsia" w:eastAsia="方正仿宋简体"/>
          <w:color w:val="000000"/>
          <w:sz w:val="30"/>
          <w:szCs w:val="30"/>
        </w:rPr>
        <w:t>）</w:t>
      </w:r>
      <w:r>
        <w:rPr>
          <w:rFonts w:eastAsia="方正仿宋简体"/>
          <w:color w:val="000000"/>
          <w:sz w:val="30"/>
          <w:szCs w:val="30"/>
        </w:rPr>
        <w:t>、</w:t>
      </w:r>
      <w:r>
        <w:rPr>
          <w:rFonts w:hint="eastAsia" w:eastAsia="方正仿宋简体"/>
          <w:color w:val="000000"/>
          <w:sz w:val="30"/>
          <w:szCs w:val="30"/>
        </w:rPr>
        <w:t>进口货物报关单、海关代征增值税专用缴款书，</w:t>
      </w:r>
      <w:r>
        <w:rPr>
          <w:rFonts w:eastAsia="方正仿宋简体"/>
          <w:color w:val="000000"/>
          <w:sz w:val="30"/>
          <w:szCs w:val="30"/>
        </w:rPr>
        <w:t>经本交易所审定合格为有效。</w:t>
      </w:r>
    </w:p>
    <w:p>
      <w:pPr>
        <w:spacing w:line="560" w:lineRule="exact"/>
        <w:ind w:firstLine="600" w:firstLineChars="200"/>
        <w:rPr>
          <w:rFonts w:eastAsia="方正仿宋简体"/>
          <w:color w:val="000000"/>
          <w:sz w:val="30"/>
          <w:szCs w:val="30"/>
        </w:rPr>
      </w:pPr>
      <w:r>
        <w:rPr>
          <w:rFonts w:eastAsia="方正仿宋简体"/>
          <w:color w:val="000000"/>
          <w:sz w:val="30"/>
          <w:szCs w:val="30"/>
        </w:rPr>
        <w:t>国家税收、商检等政策调整的，应当遵守其规定，相关进口商品的单证要求由交易所另行发布。</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十八条</w:t>
      </w:r>
      <w:r>
        <w:rPr>
          <w:rFonts w:eastAsia="方正仿宋简体"/>
          <w:color w:val="000000"/>
          <w:sz w:val="30"/>
          <w:szCs w:val="30"/>
        </w:rPr>
        <w:t xml:space="preserve"> </w:t>
      </w:r>
      <w:r>
        <w:rPr>
          <w:rFonts w:hint="eastAsia" w:eastAsia="方正仿宋简体"/>
          <w:color w:val="000000"/>
          <w:sz w:val="30"/>
          <w:szCs w:val="30"/>
        </w:rPr>
        <w:t>溢短和磅差：铸造铝合金交割以净重进行计量。每张标准仓单所列铸造铝合金锭的重量为</w:t>
      </w:r>
      <w:r>
        <w:rPr>
          <w:rFonts w:eastAsia="方正仿宋简体"/>
          <w:color w:val="000000"/>
          <w:sz w:val="30"/>
          <w:szCs w:val="30"/>
        </w:rPr>
        <w:t>30</w:t>
      </w:r>
      <w:r>
        <w:rPr>
          <w:rFonts w:hint="eastAsia" w:eastAsia="方正仿宋简体"/>
          <w:color w:val="000000"/>
          <w:sz w:val="30"/>
          <w:szCs w:val="30"/>
        </w:rPr>
        <w:t>吨，溢短不超过</w:t>
      </w:r>
      <w:r>
        <w:rPr>
          <w:rFonts w:hint="eastAsia" w:ascii="方正仿宋简体" w:eastAsia="方正仿宋简体"/>
          <w:color w:val="000000"/>
          <w:sz w:val="30"/>
          <w:szCs w:val="30"/>
        </w:rPr>
        <w:t>±</w:t>
      </w:r>
      <w:r>
        <w:rPr>
          <w:rFonts w:eastAsia="方正仿宋简体"/>
          <w:color w:val="000000"/>
          <w:sz w:val="30"/>
          <w:szCs w:val="30"/>
        </w:rPr>
        <w:t>3%</w:t>
      </w:r>
      <w:r>
        <w:rPr>
          <w:rFonts w:hint="eastAsia" w:eastAsia="方正仿宋简体"/>
          <w:color w:val="000000"/>
          <w:sz w:val="30"/>
          <w:szCs w:val="30"/>
        </w:rPr>
        <w:t>，磅差不超过</w:t>
      </w:r>
      <w:r>
        <w:rPr>
          <w:rFonts w:hint="eastAsia" w:ascii="方正仿宋简体" w:hAnsi="仿宋" w:eastAsia="方正仿宋简体"/>
          <w:color w:val="000000"/>
          <w:sz w:val="30"/>
          <w:szCs w:val="30"/>
        </w:rPr>
        <w:t>±</w:t>
      </w:r>
      <w:r>
        <w:rPr>
          <w:rFonts w:eastAsia="方正仿宋简体"/>
          <w:color w:val="000000"/>
          <w:sz w:val="30"/>
          <w:szCs w:val="30"/>
        </w:rPr>
        <w:t>0.1%</w:t>
      </w:r>
      <w:r>
        <w:rPr>
          <w:rFonts w:hint="eastAsia" w:eastAsia="方正仿宋简体"/>
          <w:color w:val="000000"/>
          <w:sz w:val="30"/>
          <w:szCs w:val="30"/>
        </w:rPr>
        <w:t>。</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十九</w:t>
      </w:r>
      <w:r>
        <w:rPr>
          <w:rFonts w:eastAsia="方正仿宋简体"/>
          <w:b/>
          <w:color w:val="000000"/>
          <w:sz w:val="30"/>
          <w:szCs w:val="30"/>
        </w:rPr>
        <w:t>条</w:t>
      </w:r>
      <w:r>
        <w:rPr>
          <w:rFonts w:hint="eastAsia" w:eastAsia="方正仿宋简体"/>
          <w:color w:val="000000"/>
          <w:sz w:val="30"/>
          <w:szCs w:val="30"/>
        </w:rPr>
        <w:t xml:space="preserve"> 铸造</w:t>
      </w:r>
      <w:r>
        <w:rPr>
          <w:rFonts w:eastAsia="方正仿宋简体"/>
          <w:color w:val="000000"/>
          <w:sz w:val="30"/>
          <w:szCs w:val="30"/>
        </w:rPr>
        <w:t>铝合金期货合约的</w:t>
      </w:r>
      <w:r>
        <w:rPr>
          <w:rFonts w:hint="eastAsia" w:eastAsia="方正仿宋简体"/>
          <w:color w:val="000000"/>
          <w:sz w:val="30"/>
          <w:szCs w:val="30"/>
        </w:rPr>
        <w:t>交割</w:t>
      </w:r>
      <w:r>
        <w:rPr>
          <w:rFonts w:eastAsia="方正仿宋简体"/>
          <w:color w:val="000000"/>
          <w:sz w:val="30"/>
          <w:szCs w:val="30"/>
        </w:rPr>
        <w:t>单位</w:t>
      </w:r>
      <w:r>
        <w:rPr>
          <w:rFonts w:hint="eastAsia" w:eastAsia="方正仿宋简体"/>
          <w:color w:val="000000"/>
          <w:sz w:val="30"/>
          <w:szCs w:val="30"/>
        </w:rPr>
        <w:t>为</w:t>
      </w:r>
      <w:r>
        <w:rPr>
          <w:rFonts w:eastAsia="方正仿宋简体"/>
          <w:color w:val="000000"/>
          <w:sz w:val="30"/>
          <w:szCs w:val="30"/>
        </w:rPr>
        <w:t>30</w:t>
      </w:r>
      <w:r>
        <w:rPr>
          <w:rFonts w:hint="eastAsia" w:eastAsia="方正仿宋简体"/>
          <w:color w:val="000000"/>
          <w:sz w:val="30"/>
          <w:szCs w:val="30"/>
        </w:rPr>
        <w:t>吨。</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第二十条 </w:t>
      </w:r>
      <w:r>
        <w:rPr>
          <w:rFonts w:hint="eastAsia" w:eastAsia="方正仿宋简体"/>
          <w:color w:val="000000"/>
          <w:sz w:val="30"/>
          <w:szCs w:val="30"/>
        </w:rPr>
        <w:t>铸造铝合金</w:t>
      </w:r>
      <w:r>
        <w:rPr>
          <w:rFonts w:eastAsia="方正仿宋简体"/>
          <w:color w:val="000000"/>
          <w:sz w:val="30"/>
          <w:szCs w:val="30"/>
        </w:rPr>
        <w:t>期货合约的交割日期为最后交易日后连续二个工作日。</w:t>
      </w:r>
    </w:p>
    <w:p>
      <w:pPr>
        <w:spacing w:line="560" w:lineRule="exact"/>
        <w:ind w:firstLine="602" w:firstLineChars="200"/>
        <w:rPr>
          <w:rFonts w:eastAsia="方正仿宋简体"/>
          <w:color w:val="000000"/>
          <w:sz w:val="30"/>
          <w:szCs w:val="30"/>
        </w:rPr>
      </w:pPr>
      <w:r>
        <w:rPr>
          <w:rFonts w:eastAsia="方正仿宋简体"/>
          <w:b/>
          <w:sz w:val="30"/>
          <w:szCs w:val="30"/>
        </w:rPr>
        <w:t>第二十</w:t>
      </w:r>
      <w:r>
        <w:rPr>
          <w:rFonts w:hint="eastAsia" w:eastAsia="方正仿宋简体"/>
          <w:b/>
          <w:sz w:val="30"/>
          <w:szCs w:val="30"/>
        </w:rPr>
        <w:t>一</w:t>
      </w:r>
      <w:r>
        <w:rPr>
          <w:rFonts w:eastAsia="方正仿宋简体"/>
          <w:b/>
          <w:sz w:val="30"/>
          <w:szCs w:val="30"/>
        </w:rPr>
        <w:t xml:space="preserve">条 </w:t>
      </w:r>
      <w:r>
        <w:rPr>
          <w:rFonts w:hint="eastAsia" w:eastAsia="方正仿宋简体"/>
          <w:sz w:val="30"/>
          <w:szCs w:val="30"/>
        </w:rPr>
        <w:t>铸造铝合金</w:t>
      </w:r>
      <w:r>
        <w:rPr>
          <w:rFonts w:eastAsia="方正仿宋简体"/>
          <w:sz w:val="30"/>
          <w:szCs w:val="30"/>
        </w:rPr>
        <w:t>期货合约交割结算的基准价为该期货合约最后交易日的结算价。</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第二十二条</w:t>
      </w:r>
      <w:r>
        <w:rPr>
          <w:rFonts w:eastAsia="方正仿宋简体"/>
          <w:color w:val="000000"/>
          <w:sz w:val="30"/>
          <w:szCs w:val="30"/>
        </w:rPr>
        <w:t xml:space="preserve"> </w:t>
      </w:r>
      <w:r>
        <w:rPr>
          <w:rFonts w:hint="eastAsia" w:eastAsia="方正仿宋简体"/>
          <w:color w:val="000000"/>
          <w:sz w:val="30"/>
          <w:szCs w:val="30"/>
        </w:rPr>
        <w:t>交割地点：交易所交割仓库，由交易所另行公告。用于铸造铝合金期货交割的铸造铝合金锭应当存放在</w:t>
      </w:r>
      <w:r>
        <w:rPr>
          <w:rFonts w:eastAsia="方正仿宋简体"/>
          <w:color w:val="000000"/>
          <w:sz w:val="30"/>
          <w:szCs w:val="30"/>
        </w:rPr>
        <w:t>室内库房。</w:t>
      </w:r>
    </w:p>
    <w:p>
      <w:pPr>
        <w:spacing w:line="560" w:lineRule="exact"/>
        <w:ind w:firstLine="602" w:firstLineChars="200"/>
        <w:rPr>
          <w:rFonts w:eastAsia="方正仿宋简体"/>
          <w:sz w:val="30"/>
          <w:szCs w:val="30"/>
        </w:rPr>
      </w:pPr>
      <w:r>
        <w:rPr>
          <w:rFonts w:hint="eastAsia" w:eastAsia="方正仿宋简体"/>
          <w:b/>
          <w:sz w:val="30"/>
          <w:szCs w:val="30"/>
        </w:rPr>
        <w:t>第二十三条</w:t>
      </w:r>
      <w:r>
        <w:rPr>
          <w:rFonts w:hint="eastAsia" w:eastAsia="方正仿宋简体"/>
          <w:b/>
          <w:color w:val="C00000"/>
          <w:sz w:val="30"/>
          <w:szCs w:val="30"/>
        </w:rPr>
        <w:t xml:space="preserve"> </w:t>
      </w:r>
      <w:r>
        <w:rPr>
          <w:rFonts w:hint="eastAsia" w:eastAsia="方正仿宋简体"/>
          <w:sz w:val="30"/>
          <w:szCs w:val="30"/>
        </w:rPr>
        <w:t>实物交割完成后，若买方对交割商品的质量、数量有异议的（有异议的铸造铝合金应当在交割仓库内），应当在实物交割月份的下一月份的15日之前（含当日，遇法定假日时顺延至假日后的第一个工作日），向交易所提出书面申请，并应当同时提供交易所指定检验机构出具的质量鉴定结论。用于交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pPr>
        <w:spacing w:line="560" w:lineRule="exact"/>
        <w:ind w:firstLine="602" w:firstLineChars="200"/>
        <w:rPr>
          <w:rFonts w:eastAsia="方正仿宋简体"/>
          <w:color w:val="000000"/>
          <w:kern w:val="0"/>
          <w:sz w:val="30"/>
          <w:szCs w:val="30"/>
        </w:rPr>
      </w:pPr>
      <w:r>
        <w:rPr>
          <w:rFonts w:hint="eastAsia" w:eastAsia="方正仿宋简体"/>
          <w:b/>
          <w:sz w:val="30"/>
          <w:szCs w:val="30"/>
        </w:rPr>
        <w:t xml:space="preserve">第二十四条 </w:t>
      </w:r>
      <w:r>
        <w:rPr>
          <w:rFonts w:hint="eastAsia" w:eastAsia="方正仿宋简体"/>
          <w:color w:val="000000"/>
          <w:kern w:val="0"/>
          <w:sz w:val="30"/>
          <w:szCs w:val="30"/>
        </w:rPr>
        <w:t>期转现使用标准仓单并通过交易所结算发生铸造铝合金交割实物质量纠纷的，买方应当在货款和标准仓单交换日后的</w:t>
      </w:r>
      <w:r>
        <w:rPr>
          <w:rFonts w:eastAsia="方正仿宋简体"/>
          <w:color w:val="000000"/>
          <w:kern w:val="0"/>
          <w:sz w:val="30"/>
          <w:szCs w:val="30"/>
        </w:rPr>
        <w:t>25</w:t>
      </w:r>
      <w:r>
        <w:rPr>
          <w:rFonts w:hint="eastAsia" w:eastAsia="方正仿宋简体"/>
          <w:color w:val="000000"/>
          <w:kern w:val="0"/>
          <w:sz w:val="30"/>
          <w:szCs w:val="30"/>
        </w:rPr>
        <w:t>天内提出质量异议申请，并应当同时提供交易所指定检验机构出具的质量鉴定结论。</w:t>
      </w:r>
    </w:p>
    <w:p>
      <w:pPr>
        <w:spacing w:line="560" w:lineRule="exact"/>
        <w:jc w:val="center"/>
        <w:rPr>
          <w:rFonts w:eastAsia="方正仿宋简体"/>
          <w:b/>
          <w:sz w:val="30"/>
          <w:szCs w:val="30"/>
        </w:rPr>
      </w:pPr>
      <w:r>
        <w:rPr>
          <w:rFonts w:hint="eastAsia" w:eastAsia="方正仿宋简体"/>
          <w:b/>
          <w:color w:val="000000"/>
          <w:kern w:val="0"/>
          <w:sz w:val="30"/>
          <w:szCs w:val="30"/>
        </w:rPr>
        <w:t>第二节 发票流程</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第二十五条 </w:t>
      </w:r>
      <w:r>
        <w:rPr>
          <w:rFonts w:hint="eastAsia" w:eastAsia="方正仿宋简体"/>
          <w:sz w:val="30"/>
          <w:szCs w:val="30"/>
        </w:rPr>
        <w:t>铸造铝合金增值税专用发票由卖方客户、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开具。买卖双方客户有关增值税专用发票开具所需的具体信息、增值税专用发票等应当由会员进行核实、传递及确认。双方会员负责调解、处理相关纠纷。</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第二十六条 </w:t>
      </w:r>
      <w:r>
        <w:rPr>
          <w:rFonts w:hint="eastAsia" w:eastAsia="方正仿宋简体"/>
          <w:sz w:val="30"/>
          <w:szCs w:val="30"/>
        </w:rPr>
        <w:t>第二交割日内，买方会员应当向卖方会员提供有关增值税专用发票开具所需的具体信息。卖方会员最迟应当在最后交易日后第七个工作日，将增值税专用发票交至买方会员。</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第二十七条 </w:t>
      </w:r>
      <w:r>
        <w:rPr>
          <w:rFonts w:hint="eastAsia" w:eastAsia="方正仿宋简体"/>
          <w:sz w:val="30"/>
          <w:szCs w:val="30"/>
        </w:rPr>
        <w:t>第二交割日14：00之前，卖方会员未办妥增值税专用发票事宜的，交易所当日对相应交割持仓以该合约交割结算价收取不低于15%的保证金，保证金在买卖双方办妥增值税专用发票事宜并经双方会员申请、确认后清退。</w:t>
      </w:r>
    </w:p>
    <w:p>
      <w:pPr>
        <w:spacing w:line="560" w:lineRule="exact"/>
        <w:ind w:firstLine="600" w:firstLineChars="200"/>
        <w:rPr>
          <w:rFonts w:eastAsia="方正仿宋简体"/>
          <w:color w:val="FF0000"/>
          <w:sz w:val="30"/>
          <w:szCs w:val="30"/>
        </w:rPr>
      </w:pPr>
      <w:r>
        <w:rPr>
          <w:rFonts w:hint="eastAsia" w:eastAsia="方正仿宋简体"/>
          <w:sz w:val="30"/>
          <w:szCs w:val="30"/>
        </w:rPr>
        <w:t>卖方会员迟交增值税专用发票3至10天的，每天处以货款金额0.5</w:t>
      </w:r>
      <w:r>
        <w:rPr>
          <w:rFonts w:eastAsia="方正仿宋简体"/>
          <w:sz w:val="30"/>
          <w:szCs w:val="30"/>
        </w:rPr>
        <w:t>‰</w:t>
      </w:r>
      <w:r>
        <w:rPr>
          <w:rFonts w:hint="eastAsia" w:eastAsia="方正仿宋简体"/>
          <w:sz w:val="30"/>
          <w:szCs w:val="30"/>
        </w:rPr>
        <w:t>的滞纳金；迟交11至30天，每天处以货款金额1</w:t>
      </w:r>
      <w:r>
        <w:rPr>
          <w:rFonts w:eastAsia="方正仿宋简体"/>
          <w:sz w:val="30"/>
          <w:szCs w:val="30"/>
        </w:rPr>
        <w:t>‰</w:t>
      </w:r>
      <w:r>
        <w:rPr>
          <w:rFonts w:hint="eastAsia" w:eastAsia="方正仿宋简体"/>
          <w:sz w:val="30"/>
          <w:szCs w:val="30"/>
        </w:rPr>
        <w:t>的滞纳金；超过30天未交增值税专用发票的，视作不交增值税专用发票，由此产生的违约金按国家税收政策规定的增值税税额计算。滞纳金、违约金在买卖双方确认、申请后，由交易所向卖方会员收取，划转给买方会员。买卖双方另有约定的，遵其约定。</w:t>
      </w:r>
    </w:p>
    <w:p>
      <w:pPr>
        <w:spacing w:line="560" w:lineRule="exact"/>
        <w:ind w:firstLine="600" w:firstLineChars="200"/>
        <w:rPr>
          <w:rFonts w:eastAsia="方正仿宋简体"/>
          <w:sz w:val="30"/>
          <w:szCs w:val="30"/>
        </w:rPr>
      </w:pPr>
      <w:r>
        <w:rPr>
          <w:rFonts w:hint="eastAsia" w:eastAsia="方正仿宋简体"/>
          <w:sz w:val="30"/>
          <w:szCs w:val="30"/>
        </w:rPr>
        <w:t>卖方会员向卖方客户收取保证金。会员与客户应当就保证金、滞纳金、违约金的收取、支付等事项做好安排。卖方会员先行支付滞纳金、违约金的，有权向卖方客户追偿。</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第二十八条 </w:t>
      </w:r>
      <w:r>
        <w:rPr>
          <w:rFonts w:hint="eastAsia" w:eastAsia="方正仿宋简体"/>
          <w:sz w:val="30"/>
          <w:szCs w:val="30"/>
        </w:rPr>
        <w:t>买方会员应当在收到增值税专用发票之日的下一个工作日内，对增值税专用发票进行确认，并将结果告知卖方会员。</w:t>
      </w:r>
    </w:p>
    <w:p>
      <w:pPr>
        <w:spacing w:line="560" w:lineRule="exact"/>
        <w:ind w:firstLine="600" w:firstLineChars="200"/>
        <w:rPr>
          <w:rFonts w:eastAsia="方正仿宋简体"/>
          <w:b/>
          <w:sz w:val="30"/>
          <w:szCs w:val="30"/>
        </w:rPr>
      </w:pPr>
      <w:r>
        <w:rPr>
          <w:rFonts w:hint="eastAsia" w:eastAsia="方正仿宋简体"/>
          <w:sz w:val="30"/>
          <w:szCs w:val="30"/>
        </w:rPr>
        <w:t>因买方会员、买方客户提供资料有误，致使发票作废的，责任自负；买方会员提供资料延迟的，卖方会员提供发票的时间可以顺延。</w:t>
      </w:r>
    </w:p>
    <w:p>
      <w:pPr>
        <w:spacing w:line="560" w:lineRule="exact"/>
        <w:jc w:val="left"/>
        <w:rPr>
          <w:rFonts w:eastAsia="方正仿宋简体"/>
          <w:sz w:val="30"/>
          <w:szCs w:val="30"/>
        </w:rPr>
      </w:pPr>
      <w:r>
        <w:rPr>
          <w:rFonts w:eastAsia="方正仿宋简体"/>
          <w:b/>
          <w:sz w:val="30"/>
          <w:szCs w:val="30"/>
        </w:rPr>
        <w:t xml:space="preserve">    </w:t>
      </w:r>
      <w:r>
        <w:rPr>
          <w:rFonts w:hint="eastAsia" w:eastAsia="方正仿宋简体"/>
          <w:b/>
          <w:sz w:val="30"/>
          <w:szCs w:val="30"/>
        </w:rPr>
        <w:t>第二十九条</w:t>
      </w:r>
      <w:r>
        <w:rPr>
          <w:rFonts w:hint="eastAsia" w:eastAsia="方正仿宋简体"/>
          <w:sz w:val="30"/>
          <w:szCs w:val="30"/>
        </w:rPr>
        <w:t xml:space="preserve"> 铸造铝合金期转现使用标准仓单并通过交易所结算的，卖方客户、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eastAsia="方正仿宋简体"/>
          <w:sz w:val="30"/>
          <w:szCs w:val="30"/>
        </w:rPr>
        <w:t>员。</w:t>
      </w:r>
    </w:p>
    <w:p>
      <w:pPr>
        <w:spacing w:line="560" w:lineRule="exact"/>
        <w:jc w:val="left"/>
        <w:rPr>
          <w:rFonts w:eastAsia="方正仿宋简体"/>
          <w:color w:val="000000"/>
          <w:kern w:val="0"/>
          <w:sz w:val="30"/>
          <w:szCs w:val="30"/>
        </w:rPr>
      </w:pPr>
      <w:r>
        <w:rPr>
          <w:rFonts w:eastAsia="方正仿宋简体"/>
          <w:sz w:val="30"/>
          <w:szCs w:val="30"/>
        </w:rPr>
        <w:t xml:space="preserve">    卖方会员在办理期转现手续后的下一个工作日14:00之前未办妥增值税专用发票事宜的，交易所当日对相应交割</w:t>
      </w:r>
      <w:r>
        <w:rPr>
          <w:rFonts w:hint="eastAsia" w:eastAsia="方正仿宋简体"/>
          <w:sz w:val="30"/>
          <w:szCs w:val="30"/>
        </w:rPr>
        <w:t>持仓</w:t>
      </w:r>
      <w:bookmarkStart w:id="1" w:name="_GoBack"/>
      <w:bookmarkEnd w:id="1"/>
      <w:r>
        <w:rPr>
          <w:rFonts w:eastAsia="方正仿宋简体"/>
          <w:sz w:val="30"/>
          <w:szCs w:val="30"/>
        </w:rPr>
        <w:t>以该合约期转现的交割结算价收取不低于15%</w:t>
      </w:r>
      <w:r>
        <w:rPr>
          <w:rFonts w:hint="eastAsia" w:eastAsia="方正仿宋简体"/>
          <w:sz w:val="30"/>
          <w:szCs w:val="30"/>
        </w:rPr>
        <w:t>的保证金，保证金在买卖双方办妥增值税专用发票事宜并经双方会员申请、确认后清退。</w:t>
      </w:r>
    </w:p>
    <w:p>
      <w:pPr>
        <w:adjustRightInd w:val="0"/>
        <w:spacing w:line="560" w:lineRule="exact"/>
        <w:ind w:firstLine="601"/>
        <w:rPr>
          <w:rFonts w:eastAsia="方正仿宋简体"/>
          <w:sz w:val="30"/>
          <w:szCs w:val="30"/>
        </w:rPr>
      </w:pPr>
      <w:r>
        <w:rPr>
          <w:rFonts w:hint="eastAsia" w:eastAsia="方正仿宋简体"/>
          <w:sz w:val="30"/>
          <w:szCs w:val="30"/>
        </w:rPr>
        <w:t>纠纷调解、滞纳金以及违约金的处理等其他发票相关未尽事宜参照本细则第二十五条至第二十八条的有关规定执行。</w:t>
      </w:r>
    </w:p>
    <w:p>
      <w:pPr>
        <w:spacing w:before="156" w:beforeLines="50"/>
        <w:jc w:val="center"/>
        <w:rPr>
          <w:rFonts w:ascii="黑体" w:hAnsi="黑体" w:eastAsia="黑体"/>
          <w:sz w:val="30"/>
          <w:szCs w:val="30"/>
        </w:rPr>
      </w:pPr>
      <w:r>
        <w:rPr>
          <w:rFonts w:hint="eastAsia" w:ascii="黑体" w:hAnsi="黑体" w:eastAsia="黑体"/>
          <w:sz w:val="30"/>
          <w:szCs w:val="30"/>
        </w:rPr>
        <w:t>第四章 风险管理</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铸造铝合金期货合约的最低交易保证金为合约价值的5%。</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4495"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交易时间段</w:t>
            </w:r>
          </w:p>
        </w:tc>
        <w:tc>
          <w:tcPr>
            <w:tcW w:w="3734"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铸造铝合金交易保证金比例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合约挂牌之日起</w:t>
            </w:r>
          </w:p>
        </w:tc>
        <w:tc>
          <w:tcPr>
            <w:tcW w:w="3734" w:type="dxa"/>
            <w:tcBorders>
              <w:bottom w:val="single" w:color="auto" w:sz="4" w:space="0"/>
            </w:tcBorders>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交割月前第一月的第一个交易日起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交割月份第一个交易日起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最后交易日前二个交易日起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20%</w:t>
            </w:r>
          </w:p>
        </w:tc>
      </w:tr>
    </w:tbl>
    <w:p>
      <w:pPr>
        <w:spacing w:line="560" w:lineRule="exact"/>
        <w:ind w:firstLine="602" w:firstLineChars="200"/>
        <w:rPr>
          <w:rFonts w:eastAsia="方正仿宋简体"/>
          <w:sz w:val="30"/>
          <w:szCs w:val="30"/>
        </w:rPr>
      </w:pPr>
      <w:r>
        <w:rPr>
          <w:rFonts w:hint="eastAsia" w:eastAsia="方正仿宋简体"/>
          <w:b/>
          <w:sz w:val="30"/>
          <w:szCs w:val="30"/>
        </w:rPr>
        <w:t>第三十二</w:t>
      </w:r>
      <w:r>
        <w:rPr>
          <w:rFonts w:eastAsia="方正仿宋简体"/>
          <w:b/>
          <w:sz w:val="30"/>
          <w:szCs w:val="30"/>
        </w:rPr>
        <w:t xml:space="preserve">条 </w:t>
      </w:r>
      <w:r>
        <w:rPr>
          <w:rFonts w:eastAsia="方正仿宋简体"/>
          <w:sz w:val="30"/>
          <w:szCs w:val="30"/>
        </w:rPr>
        <w:t>铸造铝合金期货合约涨跌停板幅度为上一交易日结算价</w:t>
      </w:r>
      <w:r>
        <w:rPr>
          <w:rFonts w:hint="eastAsia" w:ascii="方正仿宋简体" w:eastAsia="方正仿宋简体"/>
          <w:sz w:val="30"/>
          <w:szCs w:val="30"/>
        </w:rPr>
        <w:t>±</w:t>
      </w:r>
      <w:r>
        <w:rPr>
          <w:rFonts w:eastAsia="方正仿宋简体"/>
          <w:sz w:val="30"/>
          <w:szCs w:val="30"/>
        </w:rPr>
        <w:t>3%。</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三十三</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铸造铝合金期货合约在不同时期的限仓比例和限仓数额具体规定如下：</w:t>
      </w:r>
    </w:p>
    <w:p>
      <w:pPr>
        <w:spacing w:line="560" w:lineRule="exact"/>
        <w:jc w:val="left"/>
        <w:rPr>
          <w:rFonts w:eastAsia="方正仿宋简体"/>
          <w:sz w:val="28"/>
          <w:szCs w:val="30"/>
        </w:rPr>
      </w:pPr>
      <w:r>
        <w:rPr>
          <w:rFonts w:eastAsia="方正仿宋简体"/>
          <w:sz w:val="28"/>
          <w:szCs w:val="30"/>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62"/>
        <w:gridCol w:w="1357"/>
        <w:gridCol w:w="1154"/>
        <w:gridCol w:w="1315"/>
        <w:gridCol w:w="1007"/>
        <w:gridCol w:w="942"/>
        <w:gridCol w:w="962"/>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396" w:type="pct"/>
            <w:vMerge w:val="restart"/>
            <w:shd w:val="clear" w:color="auto" w:fill="auto"/>
            <w:vAlign w:val="center"/>
          </w:tcPr>
          <w:p>
            <w:pPr>
              <w:jc w:val="center"/>
              <w:rPr>
                <w:rFonts w:eastAsia="方正仿宋简体"/>
                <w:bCs/>
                <w:color w:val="000000"/>
                <w:sz w:val="24"/>
              </w:rPr>
            </w:pPr>
          </w:p>
        </w:tc>
        <w:tc>
          <w:tcPr>
            <w:tcW w:w="2287" w:type="pct"/>
            <w:gridSpan w:val="3"/>
            <w:tcBorders>
              <w:left w:val="single" w:color="auto" w:sz="4" w:space="0"/>
              <w:righ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合约挂牌至交割月前第二月的最后一个交易日</w:t>
            </w:r>
          </w:p>
        </w:tc>
        <w:tc>
          <w:tcPr>
            <w:tcW w:w="1165" w:type="pct"/>
            <w:gridSpan w:val="2"/>
            <w:tcBorders>
              <w:lef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交割月前</w:t>
            </w:r>
          </w:p>
          <w:p>
            <w:pPr>
              <w:jc w:val="center"/>
              <w:rPr>
                <w:rFonts w:eastAsia="方正仿宋简体"/>
                <w:b/>
                <w:bCs/>
                <w:color w:val="000000"/>
                <w:sz w:val="24"/>
              </w:rPr>
            </w:pPr>
            <w:r>
              <w:rPr>
                <w:rFonts w:eastAsia="方正仿宋简体"/>
                <w:b/>
                <w:bCs/>
                <w:color w:val="000000"/>
                <w:sz w:val="24"/>
              </w:rPr>
              <w:t>第一月</w:t>
            </w:r>
          </w:p>
        </w:tc>
        <w:tc>
          <w:tcPr>
            <w:tcW w:w="1149" w:type="pct"/>
            <w:gridSpan w:val="2"/>
            <w:shd w:val="clear" w:color="auto" w:fill="auto"/>
            <w:vAlign w:val="center"/>
          </w:tcPr>
          <w:p>
            <w:pPr>
              <w:jc w:val="center"/>
              <w:rPr>
                <w:rFonts w:eastAsia="方正仿宋简体"/>
                <w:b/>
                <w:bCs/>
                <w:color w:val="000000"/>
                <w:sz w:val="24"/>
              </w:rPr>
            </w:pPr>
            <w:r>
              <w:rPr>
                <w:rFonts w:eastAsia="方正仿宋简体"/>
                <w:b/>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restar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某一期货合约持仓量</w:t>
            </w:r>
          </w:p>
        </w:tc>
        <w:tc>
          <w:tcPr>
            <w:tcW w:w="1476" w:type="pct"/>
            <w:gridSpan w:val="2"/>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限仓比例（%）</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65" w:type="pct"/>
            <w:gridSpan w:val="2"/>
            <w:tcBorders>
              <w:left w:val="single" w:color="auto" w:sz="4" w:space="0"/>
            </w:tcBorders>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149" w:type="pct"/>
            <w:gridSpan w:val="2"/>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3"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continue"/>
            <w:tcBorders>
              <w:left w:val="single" w:color="auto" w:sz="4" w:space="0"/>
              <w:right w:val="single" w:color="auto" w:sz="4" w:space="0"/>
            </w:tcBorders>
            <w:shd w:val="clear" w:color="auto" w:fill="auto"/>
            <w:vAlign w:val="center"/>
          </w:tcPr>
          <w:p>
            <w:pPr>
              <w:jc w:val="center"/>
              <w:rPr>
                <w:rFonts w:eastAsia="方正仿宋简体"/>
                <w:bCs/>
                <w:color w:val="000000"/>
                <w:sz w:val="24"/>
              </w:rPr>
            </w:pP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602"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63"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575"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74"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 w:hRule="atLeast"/>
          <w:jc w:val="center"/>
        </w:trPr>
        <w:tc>
          <w:tcPr>
            <w:tcW w:w="396"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铸造铝合金</w:t>
            </w:r>
          </w:p>
        </w:tc>
        <w:tc>
          <w:tcPr>
            <w:tcW w:w="811" w:type="pc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hint="eastAsia" w:ascii="方正仿宋简体" w:eastAsia="方正仿宋简体"/>
                <w:bCs/>
                <w:color w:val="000000"/>
                <w:sz w:val="24"/>
              </w:rPr>
              <w:t>≥</w:t>
            </w:r>
            <w:r>
              <w:rPr>
                <w:rFonts w:eastAsia="方正仿宋简体"/>
                <w:bCs/>
                <w:color w:val="000000"/>
                <w:sz w:val="24"/>
              </w:rPr>
              <w:t>9000手</w:t>
            </w: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602"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63"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75"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90</w:t>
            </w:r>
          </w:p>
        </w:tc>
        <w:tc>
          <w:tcPr>
            <w:tcW w:w="574"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 w:hRule="atLeast"/>
          <w:jc w:val="center"/>
        </w:trPr>
        <w:tc>
          <w:tcPr>
            <w:tcW w:w="396" w:type="pct"/>
            <w:vMerge w:val="continue"/>
            <w:shd w:val="clear" w:color="auto" w:fill="auto"/>
            <w:vAlign w:val="center"/>
          </w:tcPr>
          <w:p>
            <w:pPr>
              <w:jc w:val="center"/>
              <w:rPr>
                <w:bCs/>
                <w:color w:val="000000"/>
                <w:sz w:val="24"/>
              </w:rPr>
            </w:pPr>
          </w:p>
        </w:tc>
        <w:tc>
          <w:tcPr>
            <w:tcW w:w="811" w:type="pct"/>
            <w:tcBorders>
              <w:left w:val="single" w:color="auto" w:sz="4" w:space="0"/>
              <w:right w:val="single" w:color="auto" w:sz="4" w:space="0"/>
            </w:tcBorders>
            <w:shd w:val="clear" w:color="auto" w:fill="auto"/>
            <w:vAlign w:val="center"/>
          </w:tcPr>
          <w:p>
            <w:pPr>
              <w:jc w:val="center"/>
              <w:rPr>
                <w:bCs/>
                <w:color w:val="000000"/>
                <w:sz w:val="24"/>
              </w:rPr>
            </w:pPr>
            <w:r>
              <w:rPr>
                <w:bCs/>
                <w:color w:val="000000"/>
                <w:sz w:val="24"/>
              </w:rPr>
              <w:t>＜9000手</w:t>
            </w:r>
          </w:p>
        </w:tc>
        <w:tc>
          <w:tcPr>
            <w:tcW w:w="690" w:type="pct"/>
            <w:tcBorders>
              <w:left w:val="single" w:color="auto" w:sz="4" w:space="0"/>
            </w:tcBorders>
            <w:shd w:val="clear" w:color="auto" w:fill="auto"/>
            <w:vAlign w:val="center"/>
          </w:tcPr>
          <w:p>
            <w:pPr>
              <w:jc w:val="center"/>
              <w:rPr>
                <w:bCs/>
                <w:color w:val="000000"/>
                <w:sz w:val="24"/>
              </w:rPr>
            </w:pPr>
            <w:r>
              <w:rPr>
                <w:bCs/>
                <w:color w:val="000000"/>
                <w:sz w:val="24"/>
              </w:rPr>
              <w:t>900</w:t>
            </w:r>
          </w:p>
        </w:tc>
        <w:tc>
          <w:tcPr>
            <w:tcW w:w="785" w:type="pct"/>
            <w:shd w:val="clear" w:color="auto" w:fill="auto"/>
            <w:vAlign w:val="center"/>
          </w:tcPr>
          <w:p>
            <w:pPr>
              <w:jc w:val="center"/>
              <w:rPr>
                <w:bCs/>
                <w:color w:val="000000"/>
                <w:sz w:val="24"/>
              </w:rPr>
            </w:pPr>
            <w:r>
              <w:rPr>
                <w:bCs/>
                <w:color w:val="000000"/>
                <w:sz w:val="24"/>
              </w:rPr>
              <w:t>900</w:t>
            </w:r>
          </w:p>
        </w:tc>
        <w:tc>
          <w:tcPr>
            <w:tcW w:w="602" w:type="pct"/>
            <w:vMerge w:val="continue"/>
            <w:tcBorders>
              <w:left w:val="single" w:color="auto" w:sz="4" w:space="0"/>
            </w:tcBorders>
            <w:shd w:val="clear" w:color="auto" w:fill="auto"/>
            <w:vAlign w:val="center"/>
          </w:tcPr>
          <w:p>
            <w:pPr>
              <w:jc w:val="center"/>
              <w:rPr>
                <w:bCs/>
                <w:color w:val="000000"/>
                <w:sz w:val="24"/>
              </w:rPr>
            </w:pPr>
          </w:p>
        </w:tc>
        <w:tc>
          <w:tcPr>
            <w:tcW w:w="563" w:type="pct"/>
            <w:vMerge w:val="continue"/>
            <w:shd w:val="clear" w:color="auto" w:fill="auto"/>
            <w:vAlign w:val="center"/>
          </w:tcPr>
          <w:p>
            <w:pPr>
              <w:jc w:val="center"/>
              <w:rPr>
                <w:bCs/>
                <w:color w:val="000000"/>
                <w:sz w:val="24"/>
              </w:rPr>
            </w:pPr>
          </w:p>
        </w:tc>
        <w:tc>
          <w:tcPr>
            <w:tcW w:w="575" w:type="pct"/>
            <w:vMerge w:val="continue"/>
            <w:tcBorders>
              <w:left w:val="single" w:color="auto" w:sz="4" w:space="0"/>
            </w:tcBorders>
            <w:shd w:val="clear" w:color="auto" w:fill="auto"/>
            <w:vAlign w:val="center"/>
          </w:tcPr>
          <w:p>
            <w:pPr>
              <w:jc w:val="center"/>
              <w:rPr>
                <w:bCs/>
                <w:color w:val="000000"/>
                <w:sz w:val="24"/>
              </w:rPr>
            </w:pPr>
          </w:p>
        </w:tc>
        <w:tc>
          <w:tcPr>
            <w:tcW w:w="574" w:type="pct"/>
            <w:vMerge w:val="continue"/>
            <w:shd w:val="clear" w:color="auto" w:fill="auto"/>
            <w:vAlign w:val="center"/>
          </w:tcPr>
          <w:p>
            <w:pPr>
              <w:jc w:val="center"/>
              <w:rPr>
                <w:bCs/>
                <w:color w:val="000000"/>
                <w:sz w:val="24"/>
              </w:rPr>
            </w:pPr>
          </w:p>
        </w:tc>
      </w:tr>
    </w:tbl>
    <w:p>
      <w:pPr>
        <w:spacing w:line="560" w:lineRule="exact"/>
        <w:jc w:val="left"/>
        <w:rPr>
          <w:rFonts w:ascii="方正仿宋简体" w:eastAsia="方正仿宋简体"/>
          <w:bCs/>
          <w:color w:val="000000"/>
          <w:sz w:val="22"/>
        </w:rPr>
      </w:pPr>
      <w:r>
        <w:rPr>
          <w:rFonts w:hint="eastAsia" w:ascii="方正仿宋简体" w:eastAsia="方正仿宋简体"/>
          <w:b/>
          <w:bCs/>
          <w:color w:val="000000"/>
          <w:sz w:val="22"/>
        </w:rPr>
        <w:t>注：</w:t>
      </w:r>
      <w:r>
        <w:rPr>
          <w:rFonts w:hint="eastAsia" w:ascii="方正仿宋简体" w:eastAsia="方正仿宋简体"/>
          <w:bCs/>
          <w:color w:val="000000"/>
          <w:sz w:val="22"/>
        </w:rPr>
        <w:t>表中持仓量、限仓数额为单向计算。</w:t>
      </w:r>
    </w:p>
    <w:p>
      <w:pPr>
        <w:spacing w:line="560" w:lineRule="exact"/>
        <w:ind w:firstLine="602" w:firstLineChars="200"/>
        <w:rPr>
          <w:rFonts w:eastAsia="方正仿宋简体"/>
          <w:sz w:val="30"/>
          <w:szCs w:val="30"/>
        </w:rPr>
      </w:pPr>
      <w:r>
        <w:rPr>
          <w:rFonts w:hint="eastAsia" w:eastAsia="方正仿宋简体"/>
          <w:b/>
          <w:sz w:val="30"/>
          <w:szCs w:val="30"/>
        </w:rPr>
        <w:t>第三十四条</w:t>
      </w:r>
      <w:r>
        <w:rPr>
          <w:rFonts w:hint="eastAsia" w:eastAsia="方正仿宋简体"/>
          <w:sz w:val="30"/>
          <w:szCs w:val="30"/>
        </w:rPr>
        <w:t xml:space="preserve"> 交割月前第一月的最后一个交易日收盘前，交易者（即客户、非期货公司会员，下同）在每个交易编码上的铸造铝合金期货合约的一般持仓应当调整为</w:t>
      </w:r>
      <w:r>
        <w:rPr>
          <w:rFonts w:eastAsia="方正仿宋简体"/>
          <w:sz w:val="30"/>
          <w:szCs w:val="30"/>
        </w:rPr>
        <w:t>3</w:t>
      </w:r>
      <w:r>
        <w:rPr>
          <w:rFonts w:hint="eastAsia" w:eastAsia="方正仿宋简体"/>
          <w:sz w:val="30"/>
          <w:szCs w:val="30"/>
        </w:rPr>
        <w:t>手的整倍数（遇市场特殊情况无法按期调整的，可以顺延一天）; 进入交割月后，铸造铝合金期货合约一般持仓应当是</w:t>
      </w:r>
      <w:r>
        <w:rPr>
          <w:rFonts w:eastAsia="方正仿宋简体"/>
          <w:sz w:val="30"/>
          <w:szCs w:val="30"/>
        </w:rPr>
        <w:t>3</w:t>
      </w:r>
      <w:r>
        <w:rPr>
          <w:rFonts w:hint="eastAsia" w:eastAsia="方正仿宋简体"/>
          <w:sz w:val="30"/>
          <w:szCs w:val="30"/>
        </w:rPr>
        <w:t>手的整倍数，新开仓、平仓也应当是</w:t>
      </w:r>
      <w:r>
        <w:rPr>
          <w:rFonts w:eastAsia="方正仿宋简体"/>
          <w:sz w:val="30"/>
          <w:szCs w:val="30"/>
        </w:rPr>
        <w:t>3</w:t>
      </w:r>
      <w:r>
        <w:rPr>
          <w:rFonts w:hint="eastAsia" w:eastAsia="方正仿宋简体"/>
          <w:sz w:val="30"/>
          <w:szCs w:val="30"/>
        </w:rPr>
        <w:t>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三十五</w:t>
      </w:r>
      <w:r>
        <w:rPr>
          <w:rFonts w:eastAsia="方正仿宋简体"/>
          <w:b/>
          <w:sz w:val="30"/>
          <w:szCs w:val="30"/>
        </w:rPr>
        <w:t>条</w:t>
      </w:r>
      <w:r>
        <w:rPr>
          <w:rFonts w:hint="eastAsia" w:eastAsia="仿宋"/>
          <w:b/>
          <w:sz w:val="30"/>
          <w:szCs w:val="30"/>
        </w:rPr>
        <w:t xml:space="preserve"> </w:t>
      </w:r>
      <w:r>
        <w:rPr>
          <w:rFonts w:eastAsia="方正仿宋简体"/>
          <w:sz w:val="30"/>
          <w:szCs w:val="30"/>
        </w:rPr>
        <w:t>交易所对某一铸造铝合金期货合约采取强制减仓的，其申报平仓数量、持仓盈利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交易者该</w:t>
      </w:r>
      <w:r>
        <w:rPr>
          <w:rFonts w:eastAsia="方正仿宋简体"/>
          <w:sz w:val="30"/>
          <w:szCs w:val="30"/>
        </w:rPr>
        <w:t>铸造铝合金期货合约的单位净持仓亏损大于或者等于强制减仓基准日结算价6%的所有申报平仓数量的总和为平仓数量。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（四）平仓数量的分配</w:t>
      </w:r>
      <w:r>
        <w:rPr>
          <w:rFonts w:hint="eastAsia" w:eastAsia="方正仿宋简体"/>
          <w:sz w:val="30"/>
          <w:szCs w:val="30"/>
        </w:rPr>
        <w:t>方法</w:t>
      </w: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before="156" w:beforeLines="50"/>
        <w:jc w:val="center"/>
        <w:rPr>
          <w:rFonts w:ascii="黑体" w:hAnsi="黑体" w:eastAsia="黑体"/>
          <w:sz w:val="30"/>
          <w:szCs w:val="30"/>
        </w:rPr>
      </w:pPr>
      <w:r>
        <w:rPr>
          <w:rFonts w:hint="eastAsia" w:ascii="黑体" w:hAnsi="黑体" w:eastAsia="黑体"/>
          <w:sz w:val="30"/>
          <w:szCs w:val="30"/>
        </w:rPr>
        <w:t>第五章 附 则</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hint="eastAsia" w:eastAsia="方正仿宋简体"/>
          <w:b/>
          <w:sz w:val="30"/>
          <w:szCs w:val="30"/>
        </w:rPr>
        <w:t>第三十七条</w:t>
      </w:r>
      <w:r>
        <w:rPr>
          <w:rFonts w:hint="eastAsia"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本细则的解释权属于上海期货交易所。</w:t>
      </w:r>
    </w:p>
    <w:p>
      <w:pPr>
        <w:spacing w:line="560" w:lineRule="exact"/>
        <w:ind w:firstLine="602" w:firstLineChars="200"/>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AA5F0"/>
    <w:rsid w:val="18EDDD83"/>
    <w:rsid w:val="EFDAA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2025-12-31T17:42:00Z</dcterms:created>
  <dc:creator>ji.shuoren</dc:creator>
  <cp:lastModifiedBy>guan.zhaohui</cp:lastModifiedBy>
  <dcterms:modified xsi:type="dcterms:W3CDTF">2026-04-21T08:48:25Z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39F435CBC2D044D2A37F54693C5F916C</vt:lpwstr>
  </property>
</Properties>
</file>