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上海期货交易所线材期货业务细则</w:t>
      </w:r>
    </w:p>
    <w:p>
      <w:pPr>
        <w:spacing w:line="560" w:lineRule="exact"/>
        <w:jc w:val="center"/>
        <w:rPr>
          <w:rFonts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为了规范上海期货交易所（以下简称交易所）线材期货相关业务，根据《上海期货交易所交易规则》《上海期货交易所线材期货合约》以及相关业务规则，制定本细则。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线材期货合约的交易单位为10吨/手。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线材期货合约的报价单位为元（人民币）/吨。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线材期货合约的最小变动价位为1元/吨。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线材期货合约月份为1～12月。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 xml:space="preserve">第七条 </w:t>
      </w:r>
      <w:r>
        <w:rPr>
          <w:rFonts w:eastAsia="方正仿宋简体"/>
          <w:color w:val="000000"/>
          <w:sz w:val="30"/>
          <w:szCs w:val="30"/>
        </w:rPr>
        <w:t>线材期货合约的交</w:t>
      </w:r>
      <w:bookmarkStart w:id="0" w:name="_GoBack"/>
      <w:bookmarkEnd w:id="0"/>
      <w:r>
        <w:rPr>
          <w:rFonts w:eastAsia="方正仿宋简体"/>
          <w:color w:val="000000"/>
          <w:sz w:val="30"/>
          <w:szCs w:val="30"/>
        </w:rPr>
        <w:t>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线材期货合约的最后交易日为合约月份的15日，遇国家法定节假日顺延，春节月份等最后交易日交易所可另行调整并通知。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线材期货合约的交易代码为WR。</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线材</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线材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线材期货临近交割月份套期保值交易持仓额度的申请应当在该套期保值所涉合约交割月前第二月的第一</w:t>
      </w:r>
      <w:r>
        <w:rPr>
          <w:rFonts w:eastAsia="方正仿宋简体"/>
          <w:sz w:val="30"/>
          <w:szCs w:val="30"/>
        </w:rPr>
        <w:t>个交易日至交割月前第一月的最后一个交易日之间提出，逾期交易所不再受理；线材期货临近交割月份套利交易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线材期货套期保值交易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线材期货适用期货转现货、仓库交割、厂库交割。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线材期货实行完税交割。</w:t>
      </w:r>
    </w:p>
    <w:p>
      <w:pPr>
        <w:spacing w:line="560" w:lineRule="exact"/>
        <w:ind w:firstLine="602" w:firstLineChars="200"/>
        <w:jc w:val="left"/>
        <w:rPr>
          <w:rFonts w:eastAsia="方正仿宋简体"/>
          <w:b/>
          <w:sz w:val="30"/>
          <w:szCs w:val="30"/>
          <w:shd w:val="pct10" w:color="auto" w:fill="FFFFFF"/>
        </w:rPr>
      </w:pPr>
      <w:r>
        <w:rPr>
          <w:rFonts w:eastAsia="方正仿宋简体"/>
          <w:b/>
          <w:sz w:val="30"/>
          <w:szCs w:val="30"/>
        </w:rPr>
        <w:t xml:space="preserve">第十四条 </w:t>
      </w:r>
      <w:r>
        <w:rPr>
          <w:rFonts w:eastAsia="方正仿宋简体"/>
          <w:sz w:val="30"/>
          <w:szCs w:val="30"/>
        </w:rPr>
        <w:t>线材期货的</w:t>
      </w:r>
      <w:r>
        <w:rPr>
          <w:rFonts w:eastAsia="方正仿宋简体"/>
          <w:color w:val="000000"/>
          <w:kern w:val="0"/>
          <w:sz w:val="30"/>
          <w:szCs w:val="30"/>
        </w:rPr>
        <w:t>交割品级详见《上海期货交易所线材期货合约》。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交割线材质量规定</w:t>
      </w:r>
    </w:p>
    <w:p>
      <w:pPr>
        <w:spacing w:line="560" w:lineRule="exact"/>
        <w:ind w:firstLine="600" w:firstLineChars="200"/>
        <w:rPr>
          <w:rFonts w:eastAsia="方正仿宋简体"/>
          <w:sz w:val="30"/>
          <w:szCs w:val="30"/>
        </w:rPr>
      </w:pPr>
      <w:r>
        <w:rPr>
          <w:rFonts w:eastAsia="方正仿宋简体"/>
          <w:sz w:val="30"/>
          <w:szCs w:val="30"/>
        </w:rPr>
        <w:t>交割线材应当是在交易所注册的生产企业生产的注册商品。交割线材的外形、尺寸、重量及允许偏差应当符合国标GB</w:t>
      </w:r>
      <w:r>
        <w:rPr>
          <w:rFonts w:hint="eastAsia" w:eastAsia="方正仿宋简体"/>
          <w:sz w:val="30"/>
          <w:szCs w:val="30"/>
        </w:rPr>
        <w:t xml:space="preserve"> </w:t>
      </w:r>
      <w:r>
        <w:rPr>
          <w:rFonts w:eastAsia="方正仿宋简体"/>
          <w:sz w:val="30"/>
          <w:szCs w:val="30"/>
        </w:rPr>
        <w:t>1499.1-2024《钢筋混凝土用钢 第1部分：热轧光圆钢筋》的规定。</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交割线材的包装</w:t>
      </w:r>
    </w:p>
    <w:p>
      <w:pPr>
        <w:spacing w:line="560" w:lineRule="exact"/>
        <w:ind w:firstLine="600" w:firstLineChars="200"/>
        <w:rPr>
          <w:rFonts w:eastAsia="方正仿宋简体"/>
          <w:sz w:val="30"/>
          <w:szCs w:val="30"/>
        </w:rPr>
      </w:pPr>
      <w:r>
        <w:rPr>
          <w:rFonts w:eastAsia="方正仿宋简体"/>
          <w:sz w:val="30"/>
          <w:szCs w:val="30"/>
        </w:rPr>
        <w:t>线材应盘卷交货，包装、标志及质量证明书应当符合国标GB 1499.1-2024《钢筋混凝土用钢 第1部分：热轧光圆钢筋》的规定</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每一标准仓单的线材，应当是同一生产企业生产、同一牌号、同一注册商标、同一公称直径的商品组成，并且组成每一标准仓单的线材的生产日期应当不超过连续十日，且以最早日期作为该标准仓单的生产日期。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溢短和磅差</w:t>
      </w:r>
    </w:p>
    <w:p>
      <w:pPr>
        <w:spacing w:line="560" w:lineRule="exact"/>
        <w:ind w:firstLine="600" w:firstLineChars="200"/>
        <w:rPr>
          <w:rFonts w:eastAsia="方正仿宋简体"/>
          <w:sz w:val="30"/>
          <w:szCs w:val="30"/>
        </w:rPr>
      </w:pPr>
      <w:r>
        <w:rPr>
          <w:rFonts w:eastAsia="方正仿宋简体"/>
          <w:sz w:val="30"/>
          <w:szCs w:val="30"/>
        </w:rPr>
        <w:t>交割线材以实际称重方式计量。每张线材标准仓单的溢短不超过±3%，磅差不超过±0.3%。</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线材期货合约的交割单位为300吨。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线材期货合约的交割日期为最后交易日后连续二个工作日。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线材期货合约交割结算的基准价为该期货合约最后交易日的结算价。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期转现使用标准仓单并通过交易所结算发生线材交割实物质量纠纷的，买方应当在货款和标准仓单交换日后的25天内提出质量异议申请，并应当同时提供交易所指定检验机构出具的质量鉴定结论。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交割线材的每批商品的有效期限为生产日起的90天内，并且应在生产日起的30天内入交割仓库方可制作标准仓单。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用于交割的线材每一仓库标准仓单的标的实物应当作为一个堆放垛位进行堆放。</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第二十六条</w:t>
      </w:r>
      <w:r>
        <w:rPr>
          <w:rFonts w:eastAsia="方正仿宋简体"/>
          <w:color w:val="000000"/>
          <w:kern w:val="0"/>
          <w:sz w:val="30"/>
          <w:szCs w:val="30"/>
        </w:rPr>
        <w:t xml:space="preserve"> 实物交割完成后，若买方对交割商品的质量、数量有异议的（有异议的线材应当在交割仓库内），应当在实物交割月份的下一月份的15日之前（含当日，遇法定假日时顺延至假日后的第一个工作日），向交易所提出书面申请，并应当同时提供交易所指定检验机构出具的质量鉴定结论。用于交割的线材每批商品的有效期应当涵盖本次交割的最后交割日。即使交割线材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第二十七</w:t>
      </w:r>
      <w:r>
        <w:rPr>
          <w:rFonts w:eastAsia="方正仿宋简体"/>
          <w:b/>
          <w:sz w:val="30"/>
          <w:szCs w:val="30"/>
        </w:rPr>
        <w:t>条</w:t>
      </w:r>
      <w:r>
        <w:rPr>
          <w:rFonts w:hint="eastAsia" w:eastAsia="方正仿宋简体"/>
          <w:sz w:val="30"/>
          <w:szCs w:val="30"/>
        </w:rPr>
        <w:t xml:space="preserve"> 申请单位申请交割厂库，净资产不足1亿元的，应当向交易所提供有关单位出具的担保函。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九十日</w:t>
      </w:r>
      <w:r>
        <w:rPr>
          <w:rFonts w:eastAsia="方正仿宋简体"/>
          <w:sz w:val="30"/>
          <w:szCs w:val="30"/>
        </w:rPr>
        <w:t>之内</w:t>
      </w:r>
      <w:r>
        <w:rPr>
          <w:rFonts w:hint="eastAsia" w:eastAsia="方正仿宋简体"/>
          <w:sz w:val="30"/>
          <w:szCs w:val="30"/>
        </w:rPr>
        <w:t>，组成每一厂库标准仓单出库的线材生产日期应当不超过连续三十日。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出库商品重量以厂库检重为准。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当厂库发生第三十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当货主发生第三十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第四十三</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b/>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线材期货合约的最低交易保证金为合约价值的7%。</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线材期货合约上市运行不同阶段的交易保证金收取标准：</w:t>
      </w:r>
      <w:r>
        <w:rPr>
          <w:rFonts w:eastAsia="方正仿宋简体"/>
          <w:b/>
          <w:color w:val="FF0000"/>
          <w:sz w:val="30"/>
          <w:szCs w:val="30"/>
        </w:rPr>
        <w:t xml:space="preserve"> </w:t>
      </w:r>
    </w:p>
    <w:tbl>
      <w:tblPr>
        <w:tblStyle w:val="4"/>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kern w:val="0"/>
                <w:sz w:val="24"/>
              </w:rPr>
            </w:pPr>
            <w:r>
              <w:rPr>
                <w:rFonts w:eastAsia="方正仿宋简体"/>
                <w:b/>
                <w:bCs/>
                <w:color w:val="000000"/>
                <w:kern w:val="0"/>
                <w:sz w:val="24"/>
              </w:rPr>
              <w:t>线材交易保证金比例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 xml:space="preserve">条 </w:t>
      </w:r>
      <w:r>
        <w:rPr>
          <w:rFonts w:eastAsia="方正仿宋简体"/>
          <w:sz w:val="30"/>
          <w:szCs w:val="30"/>
        </w:rPr>
        <w:t>线材期货合约涨跌停板幅度为上一交易日结算价±5%。</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线材期货合约在不同时期的限仓比例和限仓数额具体规定如下：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980"/>
        <w:gridCol w:w="1064"/>
        <w:gridCol w:w="955"/>
        <w:gridCol w:w="1000"/>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183"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szCs w:val="21"/>
              </w:rPr>
              <w:t>限仓比例（</w:t>
            </w:r>
            <w:r>
              <w:rPr>
                <w:rFonts w:hint="eastAsia" w:eastAsia="方正仿宋简体"/>
                <w:bCs/>
                <w:color w:val="000000"/>
                <w:kern w:val="0"/>
                <w:sz w:val="24"/>
                <w:szCs w:val="21"/>
              </w:rPr>
              <w:t>%</w:t>
            </w:r>
            <w:r>
              <w:rPr>
                <w:rFonts w:eastAsia="方正仿宋简体"/>
                <w:bCs/>
                <w:color w:val="000000"/>
                <w:kern w:val="0"/>
                <w:sz w:val="24"/>
                <w:szCs w:val="21"/>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线材</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szCs w:val="21"/>
              </w:rPr>
              <w:t>≥</w:t>
            </w:r>
            <w:r>
              <w:rPr>
                <w:rFonts w:eastAsia="方正仿宋简体"/>
                <w:bCs/>
                <w:color w:val="000000"/>
                <w:kern w:val="0"/>
                <w:sz w:val="24"/>
              </w:rPr>
              <w:t>22.5</w:t>
            </w:r>
            <w:r>
              <w:rPr>
                <w:rFonts w:eastAsia="方正仿宋简体"/>
                <w:bCs/>
                <w:color w:val="000000"/>
                <w:kern w:val="0"/>
                <w:sz w:val="24"/>
                <w:szCs w:val="21"/>
              </w:rPr>
              <w:t>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360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22500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22500</w:t>
            </w:r>
          </w:p>
        </w:tc>
        <w:tc>
          <w:tcPr>
            <w:tcW w:w="63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r>
        <w:rPr>
          <w:rFonts w:hint="eastAsia" w:eastAsia="方正仿宋简体"/>
          <w:bCs/>
          <w:color w:val="000000"/>
          <w:sz w:val="24"/>
        </w:rPr>
        <w:t>。</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线材期货合约的</w:t>
      </w:r>
      <w:r>
        <w:rPr>
          <w:rFonts w:hint="eastAsia" w:eastAsia="方正仿宋简体"/>
          <w:sz w:val="30"/>
          <w:szCs w:val="30"/>
        </w:rPr>
        <w:t>一般</w:t>
      </w:r>
      <w:r>
        <w:rPr>
          <w:rFonts w:eastAsia="方正仿宋简体"/>
          <w:sz w:val="30"/>
          <w:szCs w:val="30"/>
        </w:rPr>
        <w:t>持仓应当调整为30手的整倍数（遇市场特殊情况无法按期调整的，可以顺延一天）</w:t>
      </w:r>
      <w:r>
        <w:rPr>
          <w:rFonts w:hint="eastAsia" w:eastAsia="方正仿宋简体"/>
          <w:sz w:val="30"/>
          <w:szCs w:val="30"/>
        </w:rPr>
        <w:t>；</w:t>
      </w:r>
      <w:r>
        <w:rPr>
          <w:rFonts w:eastAsia="方正仿宋简体"/>
          <w:sz w:val="30"/>
          <w:szCs w:val="30"/>
        </w:rPr>
        <w:t>进入交割月后，线材期货合约</w:t>
      </w:r>
      <w:r>
        <w:rPr>
          <w:rFonts w:hint="eastAsia" w:eastAsia="方正仿宋简体"/>
          <w:sz w:val="30"/>
          <w:szCs w:val="30"/>
        </w:rPr>
        <w:t>一般</w:t>
      </w:r>
      <w:r>
        <w:rPr>
          <w:rFonts w:eastAsia="方正仿宋简体"/>
          <w:sz w:val="30"/>
          <w:szCs w:val="30"/>
        </w:rPr>
        <w:t>持仓应当是30手的整倍数，新开仓、平仓也应当是30手的整倍数。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交易所对某一线材期货合约采取强制减仓的，其申报平仓数量、持仓盈利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该线材期货合约的单位净持仓亏损大于或者等于强制减仓基准日结算价6%的所有申报平仓数量的总和为平仓数量。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w:t>
      </w:r>
      <w:r>
        <w:rPr>
          <w:rFonts w:eastAsia="方正仿宋简体"/>
          <w:sz w:val="30"/>
          <w:szCs w:val="30"/>
        </w:rPr>
        <w:t>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r>
        <w:rPr>
          <w:rFonts w:hint="eastAsia" w:eastAsia="方正仿宋简体"/>
          <w:sz w:val="30"/>
          <w:szCs w:val="30"/>
        </w:rPr>
        <w:t>。</w:t>
      </w:r>
    </w:p>
    <w:p>
      <w:pPr>
        <w:spacing w:line="560" w:lineRule="exact"/>
        <w:ind w:firstLine="600" w:firstLineChars="200"/>
        <w:rPr>
          <w:rFonts w:eastAsia="方正仿宋简体"/>
          <w:b/>
          <w:bCs/>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w:t>
      </w:r>
      <w:r>
        <w:rPr>
          <w:rFonts w:eastAsia="方正仿宋简体"/>
          <w:color w:val="000000"/>
          <w:sz w:val="30"/>
          <w:szCs w:val="30"/>
        </w:rPr>
        <w:t>于申报平仓数量的，根据盈利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b/>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 xml:space="preserve">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7F57C8"/>
    <w:rsid w:val="EE7F57C8"/>
    <w:rsid w:val="FFB7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2025-12-31T17:38:00Z</dcterms:created>
  <dc:creator>ji.shuoren</dc:creator>
  <cp:lastModifiedBy>ji.shuoren</cp:lastModifiedBy>
  <dcterms:modified xsi:type="dcterms:W3CDTF">2025-12-31T09:46:11Z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9DA6A7D9CA6910438B7E5469404BEFEA</vt:lpwstr>
  </property>
</Properties>
</file>