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上海期货交易所螺纹钢期货业务细则</w:t>
      </w:r>
    </w:p>
    <w:p/>
    <w:p>
      <w:pPr>
        <w:spacing w:line="560" w:lineRule="exact"/>
        <w:jc w:val="center"/>
        <w:rPr>
          <w:rFonts w:eastAsia="方正黑体简体"/>
          <w:sz w:val="30"/>
          <w:szCs w:val="30"/>
        </w:rPr>
      </w:pPr>
      <w:r>
        <w:rPr>
          <w:rFonts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为了规范上海期货交易所（以下简称交易所）螺纹钢期货相关业务，根据《上海期货交易所交易规则》《上海期货交易所螺纹钢期货合约》以及相关业务规则，制定本细则。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w:t>
      </w:r>
      <w:r>
        <w:rPr>
          <w:rFonts w:eastAsia="方正仿宋简体"/>
          <w:color w:val="000000"/>
          <w:sz w:val="30"/>
          <w:szCs w:val="30"/>
        </w:rPr>
        <w:t>交割库</w:t>
      </w:r>
      <w:r>
        <w:rPr>
          <w:rFonts w:eastAsia="方正仿宋简体"/>
          <w:sz w:val="30"/>
          <w:szCs w:val="30"/>
        </w:rPr>
        <w:t>、指定检验机构、期货保证金存管机构以及期货市场其他参与者应当遵守本细则。</w:t>
      </w:r>
    </w:p>
    <w:p>
      <w:pPr>
        <w:spacing w:line="560" w:lineRule="exact"/>
        <w:jc w:val="center"/>
        <w:rPr>
          <w:rFonts w:ascii="黑体" w:hAnsi="黑体" w:eastAsia="黑体"/>
          <w:sz w:val="30"/>
          <w:szCs w:val="30"/>
        </w:rPr>
      </w:pPr>
      <w:r>
        <w:rPr>
          <w:rFonts w:ascii="黑体" w:hAnsi="黑体"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第三条</w:t>
      </w:r>
      <w:r>
        <w:rPr>
          <w:rFonts w:eastAsia="方正仿宋简体"/>
          <w:sz w:val="30"/>
          <w:szCs w:val="30"/>
        </w:rPr>
        <w:t xml:space="preserve"> 螺纹钢期货合约的交易单位为10吨/手。</w:t>
      </w:r>
    </w:p>
    <w:p>
      <w:pPr>
        <w:spacing w:line="560" w:lineRule="exact"/>
        <w:ind w:firstLine="602" w:firstLineChars="200"/>
        <w:rPr>
          <w:rFonts w:eastAsia="方正仿宋简体"/>
          <w:sz w:val="30"/>
          <w:szCs w:val="30"/>
        </w:rPr>
      </w:pPr>
      <w:r>
        <w:rPr>
          <w:rFonts w:eastAsia="方正仿宋简体"/>
          <w:b/>
          <w:sz w:val="30"/>
          <w:szCs w:val="30"/>
        </w:rPr>
        <w:t>第四条</w:t>
      </w:r>
      <w:r>
        <w:rPr>
          <w:rFonts w:eastAsia="方正仿宋简体"/>
          <w:sz w:val="30"/>
          <w:szCs w:val="30"/>
        </w:rPr>
        <w:t xml:space="preserve"> 螺纹钢期货合约的报价单位为元（人民币）/吨。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 xml:space="preserve">第五条 </w:t>
      </w:r>
      <w:r>
        <w:rPr>
          <w:rFonts w:eastAsia="方正仿宋简体"/>
          <w:sz w:val="30"/>
          <w:szCs w:val="30"/>
        </w:rPr>
        <w:t>螺纹钢期货合约的最小变动价位为1元/吨。</w:t>
      </w:r>
    </w:p>
    <w:p>
      <w:pPr>
        <w:spacing w:line="560" w:lineRule="exact"/>
        <w:ind w:firstLine="602" w:firstLineChars="200"/>
        <w:rPr>
          <w:rFonts w:eastAsia="方正仿宋简体"/>
          <w:color w:val="000000"/>
          <w:sz w:val="30"/>
          <w:szCs w:val="30"/>
        </w:rPr>
      </w:pPr>
      <w:r>
        <w:rPr>
          <w:rFonts w:eastAsia="方正仿宋简体"/>
          <w:b/>
          <w:sz w:val="30"/>
          <w:szCs w:val="30"/>
        </w:rPr>
        <w:t>第六条</w:t>
      </w:r>
      <w:r>
        <w:rPr>
          <w:rFonts w:eastAsia="方正仿宋简体"/>
          <w:sz w:val="30"/>
          <w:szCs w:val="30"/>
        </w:rPr>
        <w:t xml:space="preserve"> 螺纹钢期货合约月份为1～12月。</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第七条</w:t>
      </w:r>
      <w:r>
        <w:rPr>
          <w:rFonts w:eastAsia="方正仿宋简体"/>
          <w:color w:val="000000"/>
          <w:sz w:val="30"/>
          <w:szCs w:val="30"/>
        </w:rPr>
        <w:t xml:space="preserve"> 螺纹钢期货合约的交易时间为上午9:00～11:30 ，下午1:30～3:00和交易所规定的其他交易时间。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螺纹钢期货合约的最后交易日为合约月份的15日，遇国家法定节假日顺延，春节月份等最后交易日交易所可另行调整并通知。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螺纹钢期货合约的交易代码为RB。</w:t>
      </w:r>
    </w:p>
    <w:p>
      <w:pPr>
        <w:spacing w:line="560" w:lineRule="exact"/>
        <w:ind w:firstLine="602" w:firstLineChars="200"/>
        <w:rPr>
          <w:rFonts w:eastAsia="方正仿宋简体"/>
          <w:b/>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螺纹钢</w:t>
      </w:r>
      <w:r>
        <w:rPr>
          <w:rFonts w:eastAsia="方正仿宋简体"/>
          <w:sz w:val="30"/>
          <w:szCs w:val="30"/>
        </w:rPr>
        <w:t>期货套期保值交易</w:t>
      </w:r>
      <w:r>
        <w:rPr>
          <w:rFonts w:hint="eastAsia" w:eastAsia="方正仿宋简体"/>
          <w:sz w:val="30"/>
          <w:szCs w:val="30"/>
        </w:rPr>
        <w:t>持仓额度</w:t>
      </w:r>
      <w:r>
        <w:rPr>
          <w:rFonts w:eastAsia="方正仿宋简体"/>
          <w:sz w:val="30"/>
          <w:szCs w:val="30"/>
        </w:rPr>
        <w:t>和套利交易</w:t>
      </w:r>
      <w:r>
        <w:rPr>
          <w:rFonts w:hint="eastAsia" w:eastAsia="方正仿宋简体"/>
          <w:sz w:val="30"/>
          <w:szCs w:val="30"/>
        </w:rPr>
        <w:t>持仓额度</w:t>
      </w:r>
      <w:r>
        <w:rPr>
          <w:rFonts w:eastAsia="方正仿宋简体"/>
          <w:sz w:val="30"/>
          <w:szCs w:val="30"/>
        </w:rPr>
        <w:t>，所涉的一般月份是指合约挂</w:t>
      </w:r>
      <w:bookmarkStart w:id="0" w:name="_GoBack"/>
      <w:bookmarkEnd w:id="0"/>
      <w:r>
        <w:rPr>
          <w:rFonts w:eastAsia="方正仿宋简体"/>
          <w:sz w:val="30"/>
          <w:szCs w:val="30"/>
        </w:rPr>
        <w:t>牌至交割月前第二月的最后一个交易日，所涉的临近交割月份是指交割月前第一月和交割月份。</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螺纹钢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螺纹钢期货临近交割月份套期保值交易持仓额度的申请应当在该套期保值所涉合约交割月前第二月的</w:t>
      </w:r>
      <w:r>
        <w:rPr>
          <w:rFonts w:eastAsia="方正仿宋简体"/>
          <w:sz w:val="30"/>
          <w:szCs w:val="30"/>
        </w:rPr>
        <w:t>第一个交易日至交割月前第一月的最后一个交易日之间提出，逾期交易所不再受理；螺纹钢期货临近交割月份套利交易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sz w:val="30"/>
          <w:szCs w:val="30"/>
        </w:rPr>
      </w:pPr>
      <w:r>
        <w:rPr>
          <w:rFonts w:eastAsia="方正仿宋简体"/>
          <w:b/>
          <w:sz w:val="30"/>
          <w:szCs w:val="30"/>
        </w:rPr>
        <w:t>第十二条</w:t>
      </w:r>
      <w:r>
        <w:rPr>
          <w:rFonts w:hint="eastAsia" w:eastAsia="方正仿宋简体"/>
          <w:b/>
          <w:sz w:val="30"/>
          <w:szCs w:val="30"/>
        </w:rPr>
        <w:t xml:space="preserve"> </w:t>
      </w:r>
      <w:r>
        <w:rPr>
          <w:rFonts w:eastAsia="方正仿宋简体"/>
          <w:sz w:val="30"/>
          <w:szCs w:val="30"/>
        </w:rPr>
        <w:t>螺纹钢期货套期保值交易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60" w:lineRule="exact"/>
        <w:jc w:val="center"/>
        <w:rPr>
          <w:rFonts w:eastAsia="黑体"/>
          <w:sz w:val="30"/>
          <w:szCs w:val="30"/>
        </w:rPr>
      </w:pPr>
      <w:r>
        <w:rPr>
          <w:rFonts w:eastAsia="黑体"/>
          <w:sz w:val="30"/>
          <w:szCs w:val="30"/>
        </w:rPr>
        <w:t>第三章 交割业务</w:t>
      </w:r>
    </w:p>
    <w:p>
      <w:pPr>
        <w:spacing w:line="560" w:lineRule="exact"/>
        <w:jc w:val="center"/>
        <w:rPr>
          <w:rFonts w:eastAsia="方正仿宋简体"/>
          <w:b/>
          <w:sz w:val="30"/>
          <w:szCs w:val="30"/>
        </w:rPr>
      </w:pPr>
      <w:r>
        <w:rPr>
          <w:rFonts w:eastAsia="方正仿宋简体"/>
          <w:b/>
          <w:sz w:val="30"/>
          <w:szCs w:val="30"/>
        </w:rPr>
        <w:t>第一节 一般规定</w:t>
      </w:r>
    </w:p>
    <w:p>
      <w:pPr>
        <w:spacing w:line="560" w:lineRule="exact"/>
        <w:ind w:firstLine="602" w:firstLineChars="200"/>
        <w:rPr>
          <w:rFonts w:eastAsia="方正仿宋简体"/>
          <w:sz w:val="30"/>
          <w:szCs w:val="30"/>
        </w:rPr>
      </w:pPr>
      <w:r>
        <w:rPr>
          <w:rFonts w:eastAsia="方正仿宋简体"/>
          <w:b/>
          <w:sz w:val="30"/>
          <w:szCs w:val="30"/>
        </w:rPr>
        <w:t>第十三条</w:t>
      </w:r>
      <w:r>
        <w:rPr>
          <w:rFonts w:eastAsia="方正仿宋简体"/>
          <w:sz w:val="30"/>
          <w:szCs w:val="30"/>
        </w:rPr>
        <w:t xml:space="preserve"> 螺纹钢期货适用期货转现货、仓库交割、厂库交割。</w:t>
      </w:r>
    </w:p>
    <w:p>
      <w:pPr>
        <w:spacing w:line="560" w:lineRule="exact"/>
        <w:ind w:firstLine="600" w:firstLineChars="200"/>
        <w:rPr>
          <w:rFonts w:eastAsia="方正仿宋简体"/>
          <w:sz w:val="30"/>
          <w:szCs w:val="30"/>
        </w:rPr>
      </w:pPr>
      <w:r>
        <w:rPr>
          <w:rFonts w:eastAsia="方正仿宋简体"/>
          <w:sz w:val="30"/>
          <w:szCs w:val="30"/>
        </w:rPr>
        <w:t>螺纹钢期货实行完税交割。</w:t>
      </w:r>
    </w:p>
    <w:p>
      <w:pPr>
        <w:spacing w:line="560" w:lineRule="exact"/>
        <w:ind w:firstLine="602" w:firstLineChars="200"/>
        <w:jc w:val="left"/>
        <w:rPr>
          <w:rFonts w:eastAsia="方正仿宋简体"/>
          <w:sz w:val="30"/>
          <w:szCs w:val="30"/>
        </w:rPr>
      </w:pPr>
      <w:r>
        <w:rPr>
          <w:rFonts w:eastAsia="方正仿宋简体"/>
          <w:b/>
          <w:sz w:val="30"/>
          <w:szCs w:val="30"/>
        </w:rPr>
        <w:t>第十四条</w:t>
      </w:r>
      <w:r>
        <w:rPr>
          <w:rFonts w:eastAsia="方正仿宋简体"/>
          <w:sz w:val="30"/>
          <w:szCs w:val="30"/>
        </w:rPr>
        <w:t xml:space="preserve"> 螺纹钢期货的交割品级详见《上海期货交易所螺纹钢期货合约》。</w:t>
      </w:r>
    </w:p>
    <w:p>
      <w:pPr>
        <w:spacing w:line="560" w:lineRule="exact"/>
        <w:ind w:firstLine="602" w:firstLineChars="200"/>
        <w:jc w:val="left"/>
        <w:rPr>
          <w:rFonts w:eastAsia="方正仿宋简体"/>
          <w:sz w:val="30"/>
          <w:szCs w:val="30"/>
        </w:rPr>
      </w:pPr>
      <w:r>
        <w:rPr>
          <w:rFonts w:eastAsia="方正仿宋简体"/>
          <w:b/>
          <w:sz w:val="30"/>
          <w:szCs w:val="30"/>
        </w:rPr>
        <w:t>第十五条</w:t>
      </w:r>
      <w:r>
        <w:rPr>
          <w:rFonts w:eastAsia="方正仿宋简体"/>
          <w:sz w:val="30"/>
          <w:szCs w:val="30"/>
        </w:rPr>
        <w:t xml:space="preserve"> 交割螺纹钢质量规定</w:t>
      </w:r>
    </w:p>
    <w:p>
      <w:pPr>
        <w:spacing w:line="560" w:lineRule="exact"/>
        <w:ind w:firstLine="600" w:firstLineChars="200"/>
        <w:jc w:val="left"/>
        <w:rPr>
          <w:rFonts w:eastAsia="方正仿宋简体"/>
          <w:sz w:val="30"/>
          <w:szCs w:val="30"/>
        </w:rPr>
      </w:pPr>
      <w:r>
        <w:rPr>
          <w:rFonts w:eastAsia="方正仿宋简体"/>
          <w:sz w:val="30"/>
          <w:szCs w:val="30"/>
        </w:rPr>
        <w:t>交割螺纹钢应当是在交易所注册的生产企业生产的注册商品。</w:t>
      </w:r>
    </w:p>
    <w:p>
      <w:pPr>
        <w:spacing w:line="560" w:lineRule="exact"/>
        <w:ind w:firstLine="600" w:firstLineChars="200"/>
        <w:jc w:val="left"/>
        <w:rPr>
          <w:rFonts w:eastAsia="方正仿宋简体"/>
          <w:sz w:val="30"/>
          <w:szCs w:val="30"/>
        </w:rPr>
      </w:pPr>
      <w:r>
        <w:rPr>
          <w:rFonts w:eastAsia="方正仿宋简体"/>
          <w:sz w:val="30"/>
          <w:szCs w:val="30"/>
        </w:rPr>
        <w:t>交割螺纹钢的外形、尺寸、重量及允许偏差应当符合国标GB 1499.2-2024《钢筋混凝土用钢 第2部分：热轧带肋钢筋》的规定。</w:t>
      </w:r>
    </w:p>
    <w:p>
      <w:pPr>
        <w:spacing w:line="560" w:lineRule="exact"/>
        <w:ind w:firstLine="600" w:firstLineChars="200"/>
        <w:jc w:val="left"/>
        <w:rPr>
          <w:rFonts w:eastAsia="方正仿宋简体"/>
          <w:sz w:val="30"/>
          <w:szCs w:val="30"/>
        </w:rPr>
      </w:pPr>
      <w:r>
        <w:rPr>
          <w:rFonts w:eastAsia="方正仿宋简体"/>
          <w:sz w:val="30"/>
          <w:szCs w:val="30"/>
        </w:rPr>
        <w:t>交割螺纹钢其长度为9米和12米定尺。</w:t>
      </w:r>
    </w:p>
    <w:p>
      <w:pPr>
        <w:spacing w:line="560" w:lineRule="exact"/>
        <w:ind w:firstLine="602" w:firstLineChars="200"/>
        <w:rPr>
          <w:rFonts w:eastAsia="方正仿宋简体"/>
          <w:sz w:val="30"/>
          <w:szCs w:val="30"/>
        </w:rPr>
      </w:pPr>
      <w:r>
        <w:rPr>
          <w:rFonts w:eastAsia="方正仿宋简体"/>
          <w:b/>
          <w:sz w:val="30"/>
          <w:szCs w:val="30"/>
        </w:rPr>
        <w:t>第十六条</w:t>
      </w:r>
      <w:r>
        <w:rPr>
          <w:rFonts w:eastAsia="方正仿宋简体"/>
          <w:sz w:val="30"/>
          <w:szCs w:val="30"/>
        </w:rPr>
        <w:t xml:space="preserve"> 交割螺纹钢的包装</w:t>
      </w:r>
    </w:p>
    <w:p>
      <w:pPr>
        <w:spacing w:line="560" w:lineRule="exact"/>
        <w:ind w:firstLine="600" w:firstLineChars="200"/>
        <w:rPr>
          <w:rFonts w:eastAsia="方正仿宋简体"/>
          <w:sz w:val="30"/>
          <w:szCs w:val="30"/>
        </w:rPr>
      </w:pPr>
      <w:r>
        <w:rPr>
          <w:rFonts w:eastAsia="方正仿宋简体"/>
          <w:sz w:val="30"/>
          <w:szCs w:val="30"/>
        </w:rPr>
        <w:t>交割螺纹钢包装、标志及质量证明书等应当符合GB 1499.2-2024《钢筋混凝土用钢 第2部分：热轧带肋钢筋》。</w:t>
      </w:r>
    </w:p>
    <w:p>
      <w:pPr>
        <w:spacing w:line="560" w:lineRule="exact"/>
        <w:ind w:firstLine="600" w:firstLineChars="200"/>
        <w:rPr>
          <w:rFonts w:eastAsia="方正仿宋简体"/>
          <w:sz w:val="30"/>
          <w:szCs w:val="30"/>
        </w:rPr>
      </w:pPr>
      <w:r>
        <w:rPr>
          <w:rFonts w:eastAsia="方正仿宋简体"/>
          <w:sz w:val="30"/>
          <w:szCs w:val="30"/>
        </w:rPr>
        <w:t>每一标准仓单的螺纹钢，应当是同一生产企业生产、同一牌号、同一注册商标、同一公称直径、同一长度的商品组成，并且组成每一标准仓单的螺纹钢的生产日期应当不超过连续十日，且以最早日期作为该标准仓单的生产日期。</w:t>
      </w:r>
    </w:p>
    <w:p>
      <w:pPr>
        <w:spacing w:line="560" w:lineRule="exact"/>
        <w:ind w:firstLine="602" w:firstLineChars="200"/>
        <w:rPr>
          <w:rFonts w:eastAsia="方正仿宋简体"/>
          <w:sz w:val="30"/>
          <w:szCs w:val="30"/>
        </w:rPr>
      </w:pPr>
      <w:r>
        <w:rPr>
          <w:rFonts w:eastAsia="方正仿宋简体"/>
          <w:b/>
          <w:sz w:val="30"/>
          <w:szCs w:val="30"/>
        </w:rPr>
        <w:t>第十七条</w:t>
      </w:r>
      <w:r>
        <w:rPr>
          <w:rFonts w:eastAsia="方正仿宋简体"/>
          <w:sz w:val="30"/>
          <w:szCs w:val="30"/>
        </w:rPr>
        <w:t xml:space="preserve"> 交割商品必备单证</w:t>
      </w:r>
    </w:p>
    <w:p>
      <w:pPr>
        <w:spacing w:line="560" w:lineRule="exact"/>
        <w:ind w:firstLine="600" w:firstLineChars="200"/>
        <w:rPr>
          <w:rFonts w:eastAsia="方正仿宋简体"/>
          <w:sz w:val="30"/>
          <w:szCs w:val="30"/>
        </w:rPr>
      </w:pPr>
      <w:r>
        <w:rPr>
          <w:rFonts w:eastAsia="方正仿宋简体"/>
          <w:sz w:val="30"/>
          <w:szCs w:val="30"/>
        </w:rPr>
        <w:t>应当提供注册生产企业出具的产品质量证明书。</w:t>
      </w:r>
    </w:p>
    <w:p>
      <w:pPr>
        <w:spacing w:line="560" w:lineRule="exact"/>
        <w:ind w:firstLine="602" w:firstLineChars="200"/>
        <w:rPr>
          <w:rFonts w:eastAsia="方正仿宋简体"/>
          <w:sz w:val="30"/>
          <w:szCs w:val="30"/>
        </w:rPr>
      </w:pPr>
      <w:r>
        <w:rPr>
          <w:rFonts w:eastAsia="方正仿宋简体"/>
          <w:b/>
          <w:sz w:val="30"/>
          <w:szCs w:val="30"/>
        </w:rPr>
        <w:t>第十八条</w:t>
      </w:r>
      <w:r>
        <w:rPr>
          <w:rFonts w:eastAsia="方正仿宋简体"/>
          <w:sz w:val="30"/>
          <w:szCs w:val="30"/>
        </w:rPr>
        <w:t xml:space="preserve"> 计量和溢短 </w:t>
      </w:r>
    </w:p>
    <w:p>
      <w:pPr>
        <w:spacing w:line="560" w:lineRule="exact"/>
        <w:ind w:firstLine="600" w:firstLineChars="200"/>
        <w:rPr>
          <w:rFonts w:eastAsia="方正仿宋简体"/>
          <w:sz w:val="30"/>
          <w:szCs w:val="30"/>
        </w:rPr>
      </w:pPr>
      <w:r>
        <w:rPr>
          <w:rFonts w:eastAsia="方正仿宋简体"/>
          <w:sz w:val="30"/>
          <w:szCs w:val="30"/>
        </w:rPr>
        <w:t>交割螺纹钢以理论计重方式计量。每张螺纹钢标准仓单的溢短不超过±3%。</w:t>
      </w:r>
    </w:p>
    <w:p>
      <w:pPr>
        <w:spacing w:line="560" w:lineRule="exact"/>
        <w:ind w:firstLine="602" w:firstLineChars="200"/>
        <w:rPr>
          <w:rFonts w:eastAsia="方正仿宋简体"/>
          <w:sz w:val="30"/>
          <w:szCs w:val="30"/>
        </w:rPr>
      </w:pPr>
      <w:r>
        <w:rPr>
          <w:rFonts w:eastAsia="方正仿宋简体"/>
          <w:b/>
          <w:sz w:val="30"/>
          <w:szCs w:val="30"/>
        </w:rPr>
        <w:t xml:space="preserve">第十九条 </w:t>
      </w:r>
      <w:r>
        <w:rPr>
          <w:rFonts w:eastAsia="方正仿宋简体"/>
          <w:sz w:val="30"/>
          <w:szCs w:val="30"/>
        </w:rPr>
        <w:t>螺纹钢期货合约的交割单位为300吨。</w:t>
      </w:r>
    </w:p>
    <w:p>
      <w:pPr>
        <w:spacing w:line="560" w:lineRule="exact"/>
        <w:ind w:firstLine="602" w:firstLineChars="200"/>
        <w:rPr>
          <w:rFonts w:eastAsia="方正仿宋简体"/>
          <w:b/>
          <w:sz w:val="30"/>
          <w:szCs w:val="30"/>
        </w:rPr>
      </w:pPr>
      <w:r>
        <w:rPr>
          <w:rFonts w:eastAsia="方正仿宋简体"/>
          <w:b/>
          <w:sz w:val="30"/>
          <w:szCs w:val="30"/>
        </w:rPr>
        <w:t>第二十条</w:t>
      </w:r>
      <w:r>
        <w:rPr>
          <w:rFonts w:eastAsia="方正仿宋简体"/>
          <w:sz w:val="30"/>
          <w:szCs w:val="30"/>
        </w:rPr>
        <w:t xml:space="preserve"> 螺纹钢期货合约的交割日期为最后交易日后连续二个工作日。</w:t>
      </w:r>
    </w:p>
    <w:p>
      <w:pPr>
        <w:spacing w:line="560" w:lineRule="exact"/>
        <w:ind w:firstLine="602" w:firstLineChars="200"/>
        <w:rPr>
          <w:rFonts w:eastAsia="方正仿宋简体"/>
          <w:b/>
          <w:sz w:val="30"/>
          <w:szCs w:val="30"/>
        </w:rPr>
      </w:pPr>
      <w:r>
        <w:rPr>
          <w:rFonts w:eastAsia="方正仿宋简体"/>
          <w:b/>
          <w:sz w:val="30"/>
          <w:szCs w:val="30"/>
        </w:rPr>
        <w:t>第二十一条</w:t>
      </w:r>
      <w:r>
        <w:rPr>
          <w:rFonts w:eastAsia="方正仿宋简体"/>
          <w:sz w:val="30"/>
          <w:szCs w:val="30"/>
        </w:rPr>
        <w:t xml:space="preserve"> 螺纹钢期货合约交割结算的基准价为该期货合约最后交易日的结算价。</w:t>
      </w:r>
    </w:p>
    <w:p>
      <w:pPr>
        <w:spacing w:line="560" w:lineRule="exact"/>
        <w:ind w:firstLine="602" w:firstLineChars="200"/>
        <w:rPr>
          <w:rFonts w:eastAsia="方正仿宋简体"/>
          <w:sz w:val="30"/>
          <w:szCs w:val="30"/>
        </w:rPr>
      </w:pPr>
      <w:r>
        <w:rPr>
          <w:rFonts w:eastAsia="方正仿宋简体"/>
          <w:b/>
          <w:sz w:val="30"/>
          <w:szCs w:val="30"/>
        </w:rPr>
        <w:t>第二十二条</w:t>
      </w:r>
      <w:r>
        <w:rPr>
          <w:rFonts w:eastAsia="方正仿宋简体"/>
          <w:sz w:val="30"/>
          <w:szCs w:val="30"/>
        </w:rPr>
        <w:t xml:space="preserve"> 交割地点：交易所交割仓库和交割厂库，由交易所另行公告。</w:t>
      </w:r>
    </w:p>
    <w:p>
      <w:pPr>
        <w:spacing w:line="56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期转现使用标准仓单并通过交易所结算发生螺纹钢交割实物质量纠纷的，买方应当在货款和标准仓单交换日后的25天内提出质量异议申请，并应当同时提供交易所指定检验机构出具的质量鉴定结论。</w:t>
      </w:r>
    </w:p>
    <w:p>
      <w:pPr>
        <w:spacing w:line="560" w:lineRule="exact"/>
        <w:jc w:val="center"/>
        <w:rPr>
          <w:rFonts w:eastAsia="方正仿宋简体"/>
          <w:b/>
          <w:sz w:val="30"/>
          <w:szCs w:val="30"/>
        </w:rPr>
      </w:pPr>
      <w:r>
        <w:rPr>
          <w:rFonts w:eastAsia="方正仿宋简体"/>
          <w:b/>
          <w:sz w:val="30"/>
          <w:szCs w:val="30"/>
        </w:rPr>
        <w:t>第二节 仓库交割</w:t>
      </w:r>
    </w:p>
    <w:p>
      <w:pPr>
        <w:spacing w:line="560" w:lineRule="exact"/>
        <w:ind w:firstLine="602" w:firstLineChars="200"/>
        <w:rPr>
          <w:rFonts w:eastAsia="方正仿宋简体"/>
          <w:sz w:val="30"/>
          <w:szCs w:val="30"/>
        </w:rPr>
      </w:pPr>
      <w:r>
        <w:rPr>
          <w:rFonts w:eastAsia="方正仿宋简体"/>
          <w:b/>
          <w:sz w:val="30"/>
          <w:szCs w:val="30"/>
        </w:rPr>
        <w:t xml:space="preserve">第二十四条 </w:t>
      </w:r>
      <w:r>
        <w:rPr>
          <w:rFonts w:eastAsia="方正仿宋简体"/>
          <w:sz w:val="30"/>
          <w:szCs w:val="30"/>
        </w:rPr>
        <w:t>交割螺纹钢的每批商品的有效期限为生产日起的90天内，并且应在生产日起的45天内入交割仓库方可制作仓库标准仓单。</w:t>
      </w:r>
    </w:p>
    <w:p>
      <w:pPr>
        <w:spacing w:line="560" w:lineRule="exact"/>
        <w:ind w:firstLine="602" w:firstLineChars="200"/>
        <w:rPr>
          <w:rFonts w:eastAsia="方正仿宋简体"/>
          <w:sz w:val="30"/>
          <w:szCs w:val="30"/>
        </w:rPr>
      </w:pPr>
      <w:r>
        <w:rPr>
          <w:rFonts w:eastAsia="方正仿宋简体"/>
          <w:b/>
          <w:sz w:val="30"/>
          <w:szCs w:val="30"/>
        </w:rPr>
        <w:t xml:space="preserve">第二十五条 </w:t>
      </w:r>
      <w:r>
        <w:rPr>
          <w:rFonts w:eastAsia="方正仿宋简体"/>
          <w:sz w:val="30"/>
          <w:szCs w:val="30"/>
        </w:rPr>
        <w:t>用于交割的螺纹钢每一仓库标准仓单的标的实物应当作为一个堆放垛位进行堆放。</w:t>
      </w:r>
    </w:p>
    <w:p>
      <w:pPr>
        <w:spacing w:line="560" w:lineRule="exact"/>
        <w:ind w:firstLine="602" w:firstLineChars="200"/>
        <w:rPr>
          <w:rFonts w:eastAsia="方正仿宋简体"/>
          <w:sz w:val="30"/>
          <w:szCs w:val="30"/>
        </w:rPr>
      </w:pPr>
      <w:r>
        <w:rPr>
          <w:rFonts w:eastAsia="方正仿宋简体"/>
          <w:b/>
          <w:sz w:val="30"/>
          <w:szCs w:val="30"/>
        </w:rPr>
        <w:t>第二十六条</w:t>
      </w:r>
      <w:r>
        <w:rPr>
          <w:rFonts w:eastAsia="方正仿宋简体"/>
          <w:color w:val="000000"/>
          <w:kern w:val="0"/>
          <w:sz w:val="30"/>
          <w:szCs w:val="30"/>
        </w:rPr>
        <w:t xml:space="preserve"> 实物交割完成后，若买方对交割商品的质量、数量有异议的（有异议的螺纹钢应当在交割仓库内），应当在实物交割月份的下一月份的15日之前（含当日，遇法定假日时顺延至假日后的第一个工作日），向交易所提出书面申请，并应当同时提供交易所指定检验机构出具的质量鉴定结论。用于交割的螺纹钢每批商品的有效期应当涵盖本次交割的最后交割日。即使交割螺纹钢每批商品的有效期截止时间早于质量异议期的提交截止时间，如果该批商品的质量鉴定结论不合格，卖方对该批交割商品的实际质量仍需承担全部责任。</w:t>
      </w:r>
    </w:p>
    <w:p>
      <w:pPr>
        <w:spacing w:line="560" w:lineRule="exact"/>
        <w:jc w:val="center"/>
        <w:rPr>
          <w:rFonts w:eastAsia="方正仿宋简体"/>
          <w:b/>
          <w:sz w:val="30"/>
          <w:szCs w:val="30"/>
        </w:rPr>
      </w:pPr>
      <w:r>
        <w:rPr>
          <w:rFonts w:eastAsia="方正仿宋简体"/>
          <w:b/>
          <w:sz w:val="30"/>
          <w:szCs w:val="30"/>
        </w:rPr>
        <w:t>第三节 厂库交割</w:t>
      </w:r>
    </w:p>
    <w:p>
      <w:pPr>
        <w:spacing w:line="560" w:lineRule="exact"/>
        <w:ind w:firstLine="602" w:firstLineChars="200"/>
        <w:rPr>
          <w:rFonts w:eastAsia="方正仿宋简体"/>
          <w:sz w:val="30"/>
          <w:szCs w:val="30"/>
        </w:rPr>
      </w:pPr>
      <w:r>
        <w:rPr>
          <w:rFonts w:hint="eastAsia" w:eastAsia="方正仿宋简体"/>
          <w:b/>
          <w:sz w:val="30"/>
          <w:szCs w:val="30"/>
        </w:rPr>
        <w:t>第二十七</w:t>
      </w:r>
      <w:r>
        <w:rPr>
          <w:rFonts w:eastAsia="方正仿宋简体"/>
          <w:b/>
          <w:sz w:val="30"/>
          <w:szCs w:val="30"/>
        </w:rPr>
        <w:t>条</w:t>
      </w:r>
      <w:r>
        <w:rPr>
          <w:rFonts w:hint="eastAsia" w:eastAsia="方正仿宋简体"/>
          <w:sz w:val="30"/>
          <w:szCs w:val="30"/>
        </w:rPr>
        <w:t xml:space="preserve"> 申请单位申请</w:t>
      </w:r>
      <w:r>
        <w:rPr>
          <w:rFonts w:eastAsia="方正仿宋简体"/>
          <w:sz w:val="30"/>
          <w:szCs w:val="30"/>
        </w:rPr>
        <w:t>交割</w:t>
      </w:r>
      <w:r>
        <w:rPr>
          <w:rFonts w:hint="eastAsia" w:eastAsia="方正仿宋简体"/>
          <w:sz w:val="30"/>
          <w:szCs w:val="30"/>
        </w:rPr>
        <w:t>厂库</w:t>
      </w:r>
      <w:r>
        <w:rPr>
          <w:rFonts w:eastAsia="方正仿宋简体"/>
          <w:sz w:val="30"/>
          <w:szCs w:val="30"/>
        </w:rPr>
        <w:t>，</w:t>
      </w:r>
      <w:r>
        <w:rPr>
          <w:rFonts w:hint="eastAsia" w:eastAsia="方正仿宋简体"/>
          <w:sz w:val="30"/>
          <w:szCs w:val="30"/>
        </w:rPr>
        <w:t>净资产不足1亿元的，应当向交易所提供有关单位出具的担保函。</w:t>
      </w:r>
    </w:p>
    <w:p>
      <w:pPr>
        <w:spacing w:line="560" w:lineRule="exact"/>
        <w:ind w:firstLine="602" w:firstLineChars="200"/>
        <w:rPr>
          <w:rFonts w:eastAsia="方正仿宋简体"/>
          <w:sz w:val="30"/>
          <w:szCs w:val="30"/>
        </w:rPr>
      </w:pPr>
      <w:r>
        <w:rPr>
          <w:rFonts w:hint="eastAsia" w:eastAsia="方正仿宋简体"/>
          <w:b/>
          <w:sz w:val="30"/>
          <w:szCs w:val="30"/>
        </w:rPr>
        <w:t>第二十八</w:t>
      </w:r>
      <w:r>
        <w:rPr>
          <w:rFonts w:eastAsia="方正仿宋简体"/>
          <w:b/>
          <w:sz w:val="30"/>
          <w:szCs w:val="30"/>
        </w:rPr>
        <w:t>条</w:t>
      </w:r>
      <w:r>
        <w:rPr>
          <w:rFonts w:hint="eastAsia" w:eastAsia="方正仿宋简体"/>
          <w:sz w:val="30"/>
          <w:szCs w:val="30"/>
        </w:rPr>
        <w:t xml:space="preserve"> 厂库提货地包括交易所相关钢材期货品种注册企业（生）产地、交割库以及其他经交易所公布的提货地。</w:t>
      </w:r>
    </w:p>
    <w:p>
      <w:pPr>
        <w:spacing w:line="560" w:lineRule="exact"/>
        <w:ind w:firstLine="602" w:firstLineChars="200"/>
        <w:rPr>
          <w:rFonts w:eastAsia="方正仿宋简体"/>
          <w:sz w:val="30"/>
          <w:szCs w:val="30"/>
        </w:rPr>
      </w:pPr>
      <w:r>
        <w:rPr>
          <w:rFonts w:hint="eastAsia" w:eastAsia="方正仿宋简体"/>
          <w:b/>
          <w:sz w:val="30"/>
          <w:szCs w:val="30"/>
        </w:rPr>
        <w:t>第二十九</w:t>
      </w:r>
      <w:r>
        <w:rPr>
          <w:rFonts w:eastAsia="方正仿宋简体"/>
          <w:b/>
          <w:sz w:val="30"/>
          <w:szCs w:val="30"/>
        </w:rPr>
        <w:t>条</w:t>
      </w:r>
      <w:r>
        <w:rPr>
          <w:rFonts w:hint="eastAsia" w:eastAsia="方正仿宋简体"/>
          <w:sz w:val="30"/>
          <w:szCs w:val="30"/>
        </w:rPr>
        <w:t xml:space="preserve"> 厂库提货地分为基准提货地和非基准提货地。</w:t>
      </w:r>
    </w:p>
    <w:p>
      <w:pPr>
        <w:spacing w:line="560" w:lineRule="exact"/>
        <w:ind w:firstLine="600" w:firstLineChars="200"/>
        <w:rPr>
          <w:rFonts w:eastAsia="方正仿宋简体"/>
          <w:sz w:val="30"/>
          <w:szCs w:val="30"/>
        </w:rPr>
      </w:pPr>
      <w:r>
        <w:rPr>
          <w:rFonts w:hint="eastAsia" w:eastAsia="方正仿宋简体"/>
          <w:sz w:val="30"/>
          <w:szCs w:val="30"/>
        </w:rPr>
        <w:t>基准提货地名单以及对应的提货升贴水由交易所确定并公告。</w:t>
      </w:r>
    </w:p>
    <w:p>
      <w:pPr>
        <w:spacing w:line="560" w:lineRule="exact"/>
        <w:ind w:firstLine="600" w:firstLineChars="200"/>
        <w:rPr>
          <w:rFonts w:eastAsia="方正仿宋简体"/>
          <w:sz w:val="30"/>
          <w:szCs w:val="30"/>
        </w:rPr>
      </w:pPr>
      <w:r>
        <w:rPr>
          <w:rFonts w:hint="eastAsia" w:eastAsia="方正仿宋简体"/>
          <w:sz w:val="30"/>
          <w:szCs w:val="30"/>
        </w:rPr>
        <w:t>非基准提货地名单以及对应的提货升贴水由厂库确定、调整，并通过交易所网站公布。</w:t>
      </w:r>
    </w:p>
    <w:p>
      <w:pPr>
        <w:spacing w:line="560" w:lineRule="exact"/>
        <w:ind w:firstLine="600" w:firstLineChars="200"/>
        <w:rPr>
          <w:rFonts w:eastAsia="方正仿宋简体"/>
          <w:sz w:val="30"/>
          <w:szCs w:val="30"/>
        </w:rPr>
      </w:pPr>
      <w:r>
        <w:rPr>
          <w:rFonts w:hint="eastAsia" w:eastAsia="方正仿宋简体"/>
          <w:sz w:val="30"/>
          <w:szCs w:val="30"/>
        </w:rPr>
        <w:t>提货地的提货升贴水由厂库和厂库标准仓单货主按厂库标准仓单重量自行结算。</w:t>
      </w:r>
    </w:p>
    <w:p>
      <w:pPr>
        <w:spacing w:line="560" w:lineRule="exact"/>
        <w:ind w:firstLine="600" w:firstLineChars="200"/>
        <w:rPr>
          <w:rFonts w:eastAsia="方正仿宋简体"/>
          <w:sz w:val="30"/>
          <w:szCs w:val="30"/>
        </w:rPr>
      </w:pPr>
      <w:r>
        <w:rPr>
          <w:rFonts w:hint="eastAsia" w:eastAsia="方正仿宋简体"/>
          <w:sz w:val="30"/>
          <w:szCs w:val="30"/>
        </w:rPr>
        <w:t>厂库标准仓单货主在提交提货申请时，应当选择并确认提货地。</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w:t>
      </w:r>
      <w:r>
        <w:rPr>
          <w:rFonts w:eastAsia="方正仿宋简体"/>
          <w:b/>
          <w:sz w:val="30"/>
          <w:szCs w:val="30"/>
        </w:rPr>
        <w:t>条</w:t>
      </w:r>
      <w:r>
        <w:rPr>
          <w:rFonts w:eastAsia="方正仿宋简体"/>
          <w:sz w:val="30"/>
          <w:szCs w:val="30"/>
        </w:rPr>
        <w:t xml:space="preserve"> 申请</w:t>
      </w:r>
    </w:p>
    <w:p>
      <w:pPr>
        <w:spacing w:line="560" w:lineRule="exact"/>
        <w:ind w:firstLine="600" w:firstLineChars="200"/>
        <w:rPr>
          <w:rFonts w:eastAsia="方正仿宋简体"/>
          <w:sz w:val="30"/>
          <w:szCs w:val="30"/>
        </w:rPr>
      </w:pPr>
      <w:r>
        <w:rPr>
          <w:rFonts w:eastAsia="方正仿宋简体"/>
          <w:sz w:val="30"/>
          <w:szCs w:val="30"/>
        </w:rPr>
        <w:t>厂库签发厂库标准仓单前，须向交易所提交签发申请。申请内容包括品种、牌号、商标、会员单位、货主名称、拟申请签发仓单数量等。</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三十一</w:t>
      </w:r>
      <w:r>
        <w:rPr>
          <w:rFonts w:eastAsia="方正仿宋简体"/>
          <w:b/>
          <w:sz w:val="30"/>
          <w:szCs w:val="30"/>
        </w:rPr>
        <w:t>条</w:t>
      </w:r>
      <w:r>
        <w:rPr>
          <w:rFonts w:eastAsia="方正仿宋简体"/>
          <w:sz w:val="30"/>
          <w:szCs w:val="30"/>
        </w:rPr>
        <w:t xml:space="preserve"> 厂库标准仓单交割有效期的规定</w:t>
      </w:r>
    </w:p>
    <w:p>
      <w:pPr>
        <w:spacing w:line="560" w:lineRule="exact"/>
        <w:ind w:firstLine="600" w:firstLineChars="200"/>
        <w:rPr>
          <w:rFonts w:eastAsia="方正仿宋简体"/>
          <w:sz w:val="30"/>
          <w:szCs w:val="30"/>
        </w:rPr>
      </w:pPr>
      <w:r>
        <w:rPr>
          <w:rFonts w:eastAsia="方正仿宋简体"/>
          <w:sz w:val="30"/>
          <w:szCs w:val="30"/>
        </w:rPr>
        <w:t>厂库标准仓单的交割有效期为厂库标准仓单生成之日起</w:t>
      </w:r>
      <w:r>
        <w:rPr>
          <w:rFonts w:hint="eastAsia" w:eastAsia="方正仿宋简体"/>
          <w:sz w:val="30"/>
          <w:szCs w:val="30"/>
        </w:rPr>
        <w:t>1</w:t>
      </w:r>
      <w:r>
        <w:rPr>
          <w:rFonts w:eastAsia="方正仿宋简体"/>
          <w:sz w:val="30"/>
          <w:szCs w:val="30"/>
        </w:rPr>
        <w:t>80</w:t>
      </w:r>
      <w:r>
        <w:rPr>
          <w:rFonts w:hint="eastAsia" w:eastAsia="方正仿宋简体"/>
          <w:sz w:val="30"/>
          <w:szCs w:val="30"/>
        </w:rPr>
        <w:t>日</w:t>
      </w:r>
      <w:r>
        <w:rPr>
          <w:rFonts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三十二</w:t>
      </w:r>
      <w:r>
        <w:rPr>
          <w:rFonts w:eastAsia="方正仿宋简体"/>
          <w:b/>
          <w:sz w:val="30"/>
          <w:szCs w:val="30"/>
        </w:rPr>
        <w:t>条</w:t>
      </w:r>
      <w:r>
        <w:rPr>
          <w:rFonts w:eastAsia="方正仿宋简体"/>
          <w:sz w:val="30"/>
          <w:szCs w:val="30"/>
        </w:rPr>
        <w:t xml:space="preserve"> 提货申请</w:t>
      </w:r>
    </w:p>
    <w:p>
      <w:pPr>
        <w:spacing w:line="560" w:lineRule="exact"/>
        <w:ind w:firstLine="600" w:firstLineChars="200"/>
        <w:rPr>
          <w:rFonts w:eastAsia="方正仿宋简体"/>
          <w:sz w:val="30"/>
          <w:szCs w:val="30"/>
        </w:rPr>
      </w:pPr>
      <w:r>
        <w:rPr>
          <w:rFonts w:eastAsia="方正仿宋简体"/>
          <w:sz w:val="30"/>
          <w:szCs w:val="30"/>
        </w:rPr>
        <w:t>（一）货主应</w:t>
      </w:r>
      <w:r>
        <w:rPr>
          <w:rFonts w:hint="eastAsia" w:eastAsia="方正仿宋简体"/>
          <w:sz w:val="30"/>
          <w:szCs w:val="30"/>
        </w:rPr>
        <w:t>按照对应</w:t>
      </w:r>
      <w:r>
        <w:rPr>
          <w:rFonts w:eastAsia="方正仿宋简体"/>
          <w:sz w:val="30"/>
          <w:szCs w:val="30"/>
        </w:rPr>
        <w:t>提货地</w:t>
      </w:r>
      <w:r>
        <w:rPr>
          <w:rFonts w:hint="eastAsia" w:eastAsia="方正仿宋简体"/>
          <w:sz w:val="30"/>
          <w:szCs w:val="30"/>
        </w:rPr>
        <w:t>最小提货量、提前申请日数等规定</w:t>
      </w:r>
      <w:r>
        <w:rPr>
          <w:rFonts w:eastAsia="方正仿宋简体"/>
          <w:sz w:val="30"/>
          <w:szCs w:val="30"/>
        </w:rPr>
        <w:t>通过标准仓单管理系统向厂库提交提货申请，</w:t>
      </w:r>
      <w:r>
        <w:rPr>
          <w:rFonts w:hint="eastAsia" w:eastAsia="方正仿宋简体"/>
          <w:sz w:val="30"/>
          <w:szCs w:val="30"/>
        </w:rPr>
        <w:t>具体内容由交易所另行公告。</w:t>
      </w:r>
      <w:r>
        <w:rPr>
          <w:rFonts w:eastAsia="方正仿宋简体"/>
          <w:sz w:val="30"/>
          <w:szCs w:val="30"/>
        </w:rPr>
        <w:t>申请内容包括数量、拟提货日、提货方式、提货计划（每日提货量）、提货人身份证号码、联系电话等相关内容</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（二）厂库在货主提交提货申请后的3个工作日内、参照货主提交的提货日、规格及企业的生产计划等，确认货主的提货申请</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参照各个货主申请提货日的先后、提货计划及生产计划等统筹安排发货，并在货主提交提货申请后的3个工作日内，向货主提供一个可供选择的提货时间范围和发货计划（每日发货量）。货主如无异议，可选择并确定其中一天为提货日，并确定发货计划。如有异议，可重新和厂库协商直至双方确定一致的提货日和发货计划</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（三）由上款所述多个货主同时申请提货而造成货主提货时间的延迟，厂库不承担经济责任。但厂库应及时报交易所书面备案，阐明原因。</w:t>
      </w:r>
    </w:p>
    <w:p>
      <w:pPr>
        <w:spacing w:line="560" w:lineRule="exact"/>
        <w:ind w:firstLine="602" w:firstLineChars="200"/>
        <w:rPr>
          <w:rFonts w:eastAsia="方正仿宋简体"/>
          <w:sz w:val="30"/>
          <w:szCs w:val="30"/>
        </w:rPr>
      </w:pPr>
      <w:r>
        <w:rPr>
          <w:rFonts w:hint="eastAsia" w:eastAsia="方正仿宋简体"/>
          <w:b/>
          <w:sz w:val="30"/>
          <w:szCs w:val="30"/>
        </w:rPr>
        <w:t>第三十三</w:t>
      </w:r>
      <w:r>
        <w:rPr>
          <w:rFonts w:eastAsia="方正仿宋简体"/>
          <w:b/>
          <w:sz w:val="30"/>
          <w:szCs w:val="30"/>
        </w:rPr>
        <w:t>条</w:t>
      </w:r>
      <w:r>
        <w:rPr>
          <w:rFonts w:hint="eastAsia" w:eastAsia="方正仿宋简体"/>
          <w:sz w:val="30"/>
          <w:szCs w:val="30"/>
        </w:rPr>
        <w:t xml:space="preserve"> 螺纹钢厂库标准仓单货主申请提货的，厂库提供的出库商品规格（公称直径）分布应当符合下列要求：</w:t>
      </w:r>
    </w:p>
    <w:p>
      <w:pPr>
        <w:spacing w:line="560" w:lineRule="exact"/>
        <w:ind w:firstLine="600" w:firstLineChars="200"/>
        <w:rPr>
          <w:rFonts w:eastAsia="方正仿宋简体"/>
          <w:sz w:val="30"/>
          <w:szCs w:val="30"/>
        </w:rPr>
      </w:pPr>
      <w:r>
        <w:rPr>
          <w:rFonts w:hint="eastAsia" w:eastAsia="方正仿宋简体"/>
          <w:sz w:val="30"/>
          <w:szCs w:val="30"/>
        </w:rPr>
        <w:t>1．厂库标准仓单货主提货数量≤2400吨，出库商品可以是同一公称直径或者一个以上公称直径。</w:t>
      </w:r>
    </w:p>
    <w:p>
      <w:pPr>
        <w:spacing w:line="560" w:lineRule="exact"/>
        <w:ind w:firstLine="600" w:firstLineChars="200"/>
        <w:rPr>
          <w:rFonts w:eastAsia="方正仿宋简体"/>
          <w:sz w:val="30"/>
          <w:szCs w:val="30"/>
        </w:rPr>
      </w:pPr>
      <w:r>
        <w:rPr>
          <w:rFonts w:hint="eastAsia" w:eastAsia="方正仿宋简体"/>
          <w:sz w:val="30"/>
          <w:szCs w:val="30"/>
        </w:rPr>
        <w:t>2．2400吨&lt;厂库标准仓单货主提货数量≤9600吨，出库商品至少是三个公称直径，并且每一公称直径提货数量不得高于其总提货数量的40%。</w:t>
      </w:r>
    </w:p>
    <w:p>
      <w:pPr>
        <w:spacing w:line="560" w:lineRule="exact"/>
        <w:ind w:firstLine="600" w:firstLineChars="200"/>
        <w:rPr>
          <w:rFonts w:eastAsia="方正仿宋简体"/>
          <w:sz w:val="30"/>
          <w:szCs w:val="30"/>
        </w:rPr>
      </w:pPr>
      <w:r>
        <w:rPr>
          <w:rFonts w:hint="eastAsia" w:eastAsia="方正仿宋简体"/>
          <w:sz w:val="30"/>
          <w:szCs w:val="30"/>
        </w:rPr>
        <w:t>3．厂库标准仓单货主提货数量&gt;9600吨，出库商品至少是四个公称直径，并且每一公称直径提货数量不得高于其总数量的30%。</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四</w:t>
      </w:r>
      <w:r>
        <w:rPr>
          <w:rFonts w:eastAsia="方正仿宋简体"/>
          <w:b/>
          <w:sz w:val="30"/>
          <w:szCs w:val="30"/>
        </w:rPr>
        <w:t>条</w:t>
      </w:r>
      <w:r>
        <w:rPr>
          <w:rFonts w:eastAsia="方正仿宋简体"/>
          <w:sz w:val="30"/>
          <w:szCs w:val="30"/>
        </w:rPr>
        <w:t xml:space="preserve"> 出库商品生产日期的规定</w:t>
      </w:r>
    </w:p>
    <w:p>
      <w:pPr>
        <w:spacing w:line="560" w:lineRule="exact"/>
        <w:ind w:firstLine="600" w:firstLineChars="200"/>
        <w:rPr>
          <w:rFonts w:eastAsia="方正仿宋简体"/>
          <w:sz w:val="30"/>
          <w:szCs w:val="30"/>
        </w:rPr>
      </w:pPr>
      <w:r>
        <w:rPr>
          <w:rFonts w:eastAsia="方正仿宋简体"/>
          <w:sz w:val="30"/>
          <w:szCs w:val="30"/>
        </w:rPr>
        <w:t>出库商品的生产日期应在货主和厂库之间已经确定的提货日之前的</w:t>
      </w:r>
      <w:r>
        <w:rPr>
          <w:rFonts w:hint="eastAsia" w:eastAsia="方正仿宋简体"/>
          <w:sz w:val="30"/>
          <w:szCs w:val="30"/>
        </w:rPr>
        <w:t>九十日</w:t>
      </w:r>
      <w:r>
        <w:rPr>
          <w:rFonts w:eastAsia="方正仿宋简体"/>
          <w:sz w:val="30"/>
          <w:szCs w:val="30"/>
        </w:rPr>
        <w:t>之内</w:t>
      </w:r>
      <w:r>
        <w:rPr>
          <w:rFonts w:hint="eastAsia" w:eastAsia="方正仿宋简体"/>
          <w:sz w:val="30"/>
          <w:szCs w:val="30"/>
        </w:rPr>
        <w:t>，组成每一厂库标准仓单出库的螺纹钢生产日期应当不超过连续三十日。</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五</w:t>
      </w:r>
      <w:r>
        <w:rPr>
          <w:rFonts w:eastAsia="方正仿宋简体"/>
          <w:b/>
          <w:sz w:val="30"/>
          <w:szCs w:val="30"/>
        </w:rPr>
        <w:t>条</w:t>
      </w:r>
      <w:r>
        <w:rPr>
          <w:rFonts w:eastAsia="方正仿宋简体"/>
          <w:sz w:val="30"/>
          <w:szCs w:val="30"/>
        </w:rPr>
        <w:t xml:space="preserve"> 货主应按约定的提货日和发货计划到厂库提货。过了提货日但在约定的提货日后15日内（含第十五日）到厂库提货，或因非厂库过错的原因而无法按约定的日发货计划提货，厂库仍应按期货标准承担有关商品质量的责任，并按当时各货主的提货情况统一安排发货计划，直至全部发完。货主应向厂库支付滞纳金</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2元/吨</w:t>
      </w:r>
      <w:r>
        <w:rPr>
          <w:rFonts w:hint="eastAsia" w:eastAsia="方正仿宋简体"/>
          <w:sz w:val="30"/>
          <w:szCs w:val="30"/>
        </w:rPr>
        <w:t>·</w:t>
      </w:r>
      <w:r>
        <w:rPr>
          <w:rFonts w:eastAsia="方正仿宋简体"/>
          <w:sz w:val="30"/>
          <w:szCs w:val="30"/>
        </w:rPr>
        <w:t xml:space="preserve">天×应提而未提的商品数量×该批商品的滞留天数 </w:t>
      </w:r>
    </w:p>
    <w:p>
      <w:pPr>
        <w:spacing w:line="560" w:lineRule="exact"/>
        <w:ind w:firstLine="600" w:firstLineChars="200"/>
        <w:rPr>
          <w:rFonts w:eastAsia="方正仿宋简体"/>
          <w:sz w:val="30"/>
          <w:szCs w:val="30"/>
        </w:rPr>
      </w:pPr>
      <w:r>
        <w:rPr>
          <w:rFonts w:eastAsia="方正仿宋简体"/>
          <w:sz w:val="30"/>
          <w:szCs w:val="30"/>
        </w:rPr>
        <w:t>对因货主原因而造成发货延迟的处理，如双方约定另行协商处理，则按双方协商而定。</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六</w:t>
      </w:r>
      <w:r>
        <w:rPr>
          <w:rFonts w:eastAsia="方正仿宋简体"/>
          <w:b/>
          <w:sz w:val="30"/>
          <w:szCs w:val="30"/>
        </w:rPr>
        <w:t>条</w:t>
      </w:r>
      <w:r>
        <w:rPr>
          <w:rFonts w:eastAsia="方正仿宋简体"/>
          <w:sz w:val="30"/>
          <w:szCs w:val="30"/>
        </w:rPr>
        <w:t xml:space="preserve"> 货主未在约定的提货日后15日内（含第十五日）到厂库提货，厂库标准仓单被注销，货主须向厂库支付滞纳金，对应商品转为现货，具体提货事宜由双方自行协商</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35元/吨×应提而未提的商品数量</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七</w:t>
      </w:r>
      <w:r>
        <w:rPr>
          <w:rFonts w:eastAsia="方正仿宋简体"/>
          <w:b/>
          <w:sz w:val="30"/>
          <w:szCs w:val="30"/>
        </w:rPr>
        <w:t>条</w:t>
      </w:r>
      <w:r>
        <w:rPr>
          <w:rFonts w:eastAsia="方正仿宋简体"/>
          <w:sz w:val="30"/>
          <w:szCs w:val="30"/>
        </w:rPr>
        <w:t xml:space="preserve"> 货主在提货日到库提货，厂库未按约定的发货计划发货，但在约定的提货日后15日内（含第十五日）完成了相应商品的发货，厂库应向货主支付赔偿金</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赔偿金金额</w:t>
      </w:r>
      <w:r>
        <w:rPr>
          <w:rFonts w:hint="eastAsia" w:eastAsia="方正仿宋简体"/>
          <w:sz w:val="30"/>
          <w:szCs w:val="30"/>
        </w:rPr>
        <w:t>=</w:t>
      </w:r>
      <w:r>
        <w:rPr>
          <w:rFonts w:eastAsia="方正仿宋简体"/>
          <w:sz w:val="30"/>
          <w:szCs w:val="30"/>
        </w:rPr>
        <w:t>50元/吨×按日发货计划应发而未发的商品数量</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八</w:t>
      </w:r>
      <w:r>
        <w:rPr>
          <w:rFonts w:eastAsia="方正仿宋简体"/>
          <w:b/>
          <w:sz w:val="30"/>
          <w:szCs w:val="30"/>
        </w:rPr>
        <w:t>条</w:t>
      </w:r>
      <w:r>
        <w:rPr>
          <w:rFonts w:eastAsia="方正仿宋简体"/>
          <w:sz w:val="30"/>
          <w:szCs w:val="30"/>
        </w:rPr>
        <w:t xml:space="preserve"> 厂库在约定的提货日后15日（含第十五日）内未完成按日发货计划相应商品的发货，货主可做如下选择：</w:t>
      </w:r>
    </w:p>
    <w:p>
      <w:pPr>
        <w:spacing w:line="560" w:lineRule="exact"/>
        <w:ind w:firstLine="600" w:firstLineChars="200"/>
        <w:rPr>
          <w:rFonts w:eastAsia="方正仿宋简体"/>
          <w:sz w:val="30"/>
          <w:szCs w:val="30"/>
        </w:rPr>
      </w:pPr>
      <w:r>
        <w:rPr>
          <w:rFonts w:eastAsia="方正仿宋简体"/>
          <w:sz w:val="30"/>
          <w:szCs w:val="30"/>
        </w:rPr>
        <w:t>（一）货主在约定提货日后的第15日向厂库提出自约定提货日后的第16日起，终止接受厂库应发而未发的剩余商品，厂库须向货主返还货款并支付追加赔偿金</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返还货款和追加赔偿金的金额</w:t>
      </w:r>
      <w:r>
        <w:rPr>
          <w:rFonts w:hint="eastAsia" w:eastAsia="方正仿宋简体"/>
          <w:sz w:val="30"/>
          <w:szCs w:val="30"/>
        </w:rPr>
        <w:t>=</w:t>
      </w:r>
      <w:r>
        <w:rPr>
          <w:rFonts w:eastAsia="方正仿宋简体"/>
          <w:sz w:val="30"/>
          <w:szCs w:val="30"/>
        </w:rPr>
        <w:t>赔偿结算价×应发而未发的商品数量×130%</w:t>
      </w:r>
    </w:p>
    <w:p>
      <w:pPr>
        <w:spacing w:line="560" w:lineRule="exact"/>
        <w:ind w:firstLine="600" w:firstLineChars="200"/>
        <w:rPr>
          <w:rFonts w:eastAsia="方正仿宋简体"/>
          <w:sz w:val="30"/>
          <w:szCs w:val="30"/>
        </w:rPr>
      </w:pPr>
      <w:r>
        <w:rPr>
          <w:rFonts w:eastAsia="方正仿宋简体"/>
          <w:sz w:val="30"/>
          <w:szCs w:val="30"/>
        </w:rPr>
        <w:t>赔偿结算价为约定提货日后的第16日前一交易日交易所挂牌交易的最近月份对应期货合约的结算价</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（二）货主在约定提货日后的第15日未向厂库提出终止接受厂库应发而未发的剩余商品，则剩余商品具体提货事宜由双方自行协商。</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九</w:t>
      </w:r>
      <w:r>
        <w:rPr>
          <w:rFonts w:eastAsia="方正仿宋简体"/>
          <w:b/>
          <w:sz w:val="30"/>
          <w:szCs w:val="30"/>
        </w:rPr>
        <w:t>条</w:t>
      </w:r>
      <w:r>
        <w:rPr>
          <w:rFonts w:eastAsia="方正仿宋简体"/>
          <w:sz w:val="30"/>
          <w:szCs w:val="30"/>
        </w:rPr>
        <w:t xml:space="preserve"> 当厂库发生第三十</w:t>
      </w:r>
      <w:r>
        <w:rPr>
          <w:rFonts w:hint="eastAsia" w:eastAsia="方正仿宋简体"/>
          <w:sz w:val="30"/>
          <w:szCs w:val="30"/>
        </w:rPr>
        <w:t>七</w:t>
      </w:r>
      <w:r>
        <w:rPr>
          <w:rFonts w:eastAsia="方正仿宋简体"/>
          <w:sz w:val="30"/>
          <w:szCs w:val="30"/>
        </w:rPr>
        <w:t>条、第三十</w:t>
      </w:r>
      <w:r>
        <w:rPr>
          <w:rFonts w:hint="eastAsia" w:eastAsia="方正仿宋简体"/>
          <w:sz w:val="30"/>
          <w:szCs w:val="30"/>
        </w:rPr>
        <w:t>八</w:t>
      </w:r>
      <w:r>
        <w:rPr>
          <w:rFonts w:eastAsia="方正仿宋简体"/>
          <w:sz w:val="30"/>
          <w:szCs w:val="30"/>
        </w:rPr>
        <w:t>条中的违约行为时，首先由厂库直接向货主支付赔偿金。厂库未支付的或支付数额不足的，交易所按照以下步骤向货主支付赔偿金：</w:t>
      </w:r>
    </w:p>
    <w:p>
      <w:pPr>
        <w:spacing w:line="560" w:lineRule="exact"/>
        <w:ind w:firstLine="600" w:firstLineChars="200"/>
        <w:rPr>
          <w:rFonts w:eastAsia="方正仿宋简体"/>
          <w:sz w:val="30"/>
          <w:szCs w:val="30"/>
        </w:rPr>
      </w:pPr>
      <w:r>
        <w:rPr>
          <w:rFonts w:eastAsia="方正仿宋简体"/>
          <w:sz w:val="30"/>
          <w:szCs w:val="30"/>
        </w:rPr>
        <w:t>（一）动用厂库提供的担保方式支付</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（二）交易所代为垫付，并通过包括法律程序在内的其他手段向厂库追索</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w:t>
      </w:r>
      <w:r>
        <w:rPr>
          <w:rFonts w:eastAsia="方正仿宋简体"/>
          <w:b/>
          <w:sz w:val="30"/>
          <w:szCs w:val="30"/>
        </w:rPr>
        <w:t>条</w:t>
      </w:r>
      <w:r>
        <w:rPr>
          <w:rFonts w:eastAsia="方正仿宋简体"/>
          <w:sz w:val="30"/>
          <w:szCs w:val="30"/>
        </w:rPr>
        <w:t xml:space="preserve"> 当货主发生第三十</w:t>
      </w:r>
      <w:r>
        <w:rPr>
          <w:rFonts w:hint="eastAsia" w:eastAsia="方正仿宋简体"/>
          <w:sz w:val="30"/>
          <w:szCs w:val="30"/>
        </w:rPr>
        <w:t>五</w:t>
      </w:r>
      <w:r>
        <w:rPr>
          <w:rFonts w:eastAsia="方正仿宋简体"/>
          <w:sz w:val="30"/>
          <w:szCs w:val="30"/>
        </w:rPr>
        <w:t>条、第三十</w:t>
      </w:r>
      <w:r>
        <w:rPr>
          <w:rFonts w:hint="eastAsia" w:eastAsia="方正仿宋简体"/>
          <w:sz w:val="30"/>
          <w:szCs w:val="30"/>
        </w:rPr>
        <w:t>六</w:t>
      </w:r>
      <w:r>
        <w:rPr>
          <w:rFonts w:eastAsia="方正仿宋简体"/>
          <w:sz w:val="30"/>
          <w:szCs w:val="30"/>
        </w:rPr>
        <w:t>条中的违约行为时，首先由货主直接向厂库支付赔偿金。货主未支付的或支付数额不足的，厂库可通过包括法律程序在内的其他手段向货主追索</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四十一</w:t>
      </w:r>
      <w:r>
        <w:rPr>
          <w:rFonts w:eastAsia="方正仿宋简体"/>
          <w:b/>
          <w:sz w:val="30"/>
          <w:szCs w:val="30"/>
        </w:rPr>
        <w:t>条</w:t>
      </w:r>
      <w:r>
        <w:rPr>
          <w:rFonts w:eastAsia="方正仿宋简体"/>
          <w:sz w:val="30"/>
          <w:szCs w:val="30"/>
        </w:rPr>
        <w:t xml:space="preserve"> 当发生第三十</w:t>
      </w:r>
      <w:r>
        <w:rPr>
          <w:rFonts w:hint="eastAsia" w:eastAsia="方正仿宋简体"/>
          <w:sz w:val="30"/>
          <w:szCs w:val="30"/>
        </w:rPr>
        <w:t>五</w:t>
      </w:r>
      <w:r>
        <w:rPr>
          <w:rFonts w:eastAsia="方正仿宋简体"/>
          <w:sz w:val="30"/>
          <w:szCs w:val="30"/>
        </w:rPr>
        <w:t>条、第三十</w:t>
      </w:r>
      <w:r>
        <w:rPr>
          <w:rFonts w:hint="eastAsia" w:eastAsia="方正仿宋简体"/>
          <w:sz w:val="30"/>
          <w:szCs w:val="30"/>
        </w:rPr>
        <w:t>六</w:t>
      </w:r>
      <w:r>
        <w:rPr>
          <w:rFonts w:eastAsia="方正仿宋简体"/>
          <w:sz w:val="30"/>
          <w:szCs w:val="30"/>
        </w:rPr>
        <w:t>条、第三十</w:t>
      </w:r>
      <w:r>
        <w:rPr>
          <w:rFonts w:hint="eastAsia" w:eastAsia="方正仿宋简体"/>
          <w:sz w:val="30"/>
          <w:szCs w:val="30"/>
        </w:rPr>
        <w:t>七</w:t>
      </w:r>
      <w:r>
        <w:rPr>
          <w:rFonts w:eastAsia="方正仿宋简体"/>
          <w:sz w:val="30"/>
          <w:szCs w:val="30"/>
        </w:rPr>
        <w:t>条、第三十</w:t>
      </w:r>
      <w:r>
        <w:rPr>
          <w:rFonts w:hint="eastAsia" w:eastAsia="方正仿宋简体"/>
          <w:sz w:val="30"/>
          <w:szCs w:val="30"/>
        </w:rPr>
        <w:t>八</w:t>
      </w:r>
      <w:r>
        <w:rPr>
          <w:rFonts w:eastAsia="方正仿宋简体"/>
          <w:sz w:val="30"/>
          <w:szCs w:val="30"/>
        </w:rPr>
        <w:t>条所述情况而给厂库或货主其中一方造成损失，如双方约定另行协商处理，则按双方协议而定，书面协议报交易所备案。</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四十二</w:t>
      </w:r>
      <w:r>
        <w:rPr>
          <w:rFonts w:eastAsia="方正仿宋简体"/>
          <w:b/>
          <w:sz w:val="30"/>
          <w:szCs w:val="30"/>
        </w:rPr>
        <w:t>条</w:t>
      </w:r>
      <w:r>
        <w:rPr>
          <w:rFonts w:eastAsia="方正仿宋简体"/>
          <w:sz w:val="30"/>
          <w:szCs w:val="30"/>
        </w:rPr>
        <w:t xml:space="preserve"> 质量争议处理</w:t>
      </w:r>
    </w:p>
    <w:p>
      <w:pPr>
        <w:spacing w:line="560" w:lineRule="exact"/>
        <w:ind w:firstLine="600" w:firstLineChars="200"/>
        <w:rPr>
          <w:rFonts w:eastAsia="方正仿宋简体"/>
          <w:sz w:val="30"/>
          <w:szCs w:val="30"/>
        </w:rPr>
      </w:pPr>
      <w:r>
        <w:rPr>
          <w:rFonts w:eastAsia="方正仿宋简体"/>
          <w:sz w:val="30"/>
          <w:szCs w:val="30"/>
        </w:rPr>
        <w:t>若提货方对交割商品的质量有异议的，须在实物交收完成后</w:t>
      </w:r>
      <w:r>
        <w:rPr>
          <w:rFonts w:hint="eastAsia" w:eastAsia="方正仿宋简体"/>
          <w:sz w:val="30"/>
          <w:szCs w:val="30"/>
        </w:rPr>
        <w:t>十日</w:t>
      </w:r>
      <w:r>
        <w:rPr>
          <w:rFonts w:eastAsia="方正仿宋简体"/>
          <w:sz w:val="30"/>
          <w:szCs w:val="30"/>
        </w:rPr>
        <w:t>内，向交易所提出书面申请，并须同时提供交易所指定检验机构出具的质量鉴定结论。逾期未提出申请的，视为提货方对所交割商品无异议，交易所不再受理交割商品有异议的申请。</w:t>
      </w:r>
    </w:p>
    <w:p>
      <w:pPr>
        <w:spacing w:line="560" w:lineRule="exact"/>
        <w:ind w:firstLine="602" w:firstLineChars="200"/>
        <w:rPr>
          <w:rFonts w:eastAsia="方正仿宋简体"/>
          <w:sz w:val="30"/>
          <w:szCs w:val="30"/>
        </w:rPr>
      </w:pPr>
      <w:r>
        <w:rPr>
          <w:rFonts w:hint="eastAsia" w:eastAsia="方正仿宋简体"/>
          <w:b/>
          <w:sz w:val="30"/>
          <w:szCs w:val="30"/>
        </w:rPr>
        <w:t>第四十三</w:t>
      </w:r>
      <w:r>
        <w:rPr>
          <w:rFonts w:eastAsia="方正仿宋简体"/>
          <w:b/>
          <w:sz w:val="30"/>
          <w:szCs w:val="30"/>
        </w:rPr>
        <w:t>条</w:t>
      </w:r>
      <w:r>
        <w:rPr>
          <w:rFonts w:hint="eastAsia" w:eastAsia="方正仿宋简体"/>
          <w:sz w:val="30"/>
          <w:szCs w:val="30"/>
        </w:rPr>
        <w:t xml:space="preserve"> 厂库持有的厂库标准仓单被注销后，厂库可以向交易所申请调整担保数额。</w:t>
      </w:r>
    </w:p>
    <w:p>
      <w:pPr>
        <w:spacing w:line="560" w:lineRule="exact"/>
        <w:jc w:val="center"/>
        <w:rPr>
          <w:rFonts w:ascii="黑体" w:hAnsi="黑体" w:eastAsia="黑体"/>
          <w:sz w:val="30"/>
          <w:szCs w:val="30"/>
        </w:rPr>
      </w:pPr>
      <w:r>
        <w:rPr>
          <w:rFonts w:ascii="黑体" w:hAnsi="黑体" w:eastAsia="黑体"/>
          <w:sz w:val="30"/>
          <w:szCs w:val="30"/>
        </w:rPr>
        <w:t>第四章 风险管理</w:t>
      </w:r>
    </w:p>
    <w:p>
      <w:pPr>
        <w:spacing w:line="560" w:lineRule="exact"/>
        <w:ind w:firstLine="602" w:firstLineChars="200"/>
        <w:jc w:val="left"/>
        <w:rPr>
          <w:rFonts w:eastAsia="方正仿宋简体"/>
          <w:sz w:val="30"/>
          <w:szCs w:val="30"/>
        </w:rPr>
      </w:pPr>
      <w:r>
        <w:rPr>
          <w:rFonts w:eastAsia="方正仿宋简体"/>
          <w:b/>
          <w:sz w:val="30"/>
          <w:szCs w:val="30"/>
        </w:rPr>
        <w:t>第四十</w:t>
      </w:r>
      <w:r>
        <w:rPr>
          <w:rFonts w:hint="eastAsia" w:eastAsia="方正仿宋简体"/>
          <w:b/>
          <w:sz w:val="30"/>
          <w:szCs w:val="30"/>
        </w:rPr>
        <w:t>四</w:t>
      </w:r>
      <w:r>
        <w:rPr>
          <w:rFonts w:eastAsia="方正仿宋简体"/>
          <w:b/>
          <w:sz w:val="30"/>
          <w:szCs w:val="30"/>
        </w:rPr>
        <w:t>条</w:t>
      </w:r>
      <w:r>
        <w:rPr>
          <w:rFonts w:eastAsia="方正仿宋简体"/>
          <w:sz w:val="30"/>
          <w:szCs w:val="30"/>
        </w:rPr>
        <w:t xml:space="preserve"> 螺纹钢期货合约的最低交易保证金为合约价值的5%。</w:t>
      </w:r>
    </w:p>
    <w:p>
      <w:pPr>
        <w:spacing w:line="560" w:lineRule="exact"/>
        <w:ind w:firstLine="602" w:firstLineChars="200"/>
        <w:rPr>
          <w:rFonts w:eastAsia="方正仿宋简体"/>
          <w:b/>
          <w:color w:val="FF0000"/>
          <w:sz w:val="30"/>
          <w:szCs w:val="30"/>
        </w:rPr>
      </w:pPr>
      <w:r>
        <w:rPr>
          <w:rFonts w:eastAsia="方正仿宋简体"/>
          <w:b/>
          <w:sz w:val="30"/>
          <w:szCs w:val="30"/>
        </w:rPr>
        <w:t>第四十</w:t>
      </w:r>
      <w:r>
        <w:rPr>
          <w:rFonts w:hint="eastAsia" w:eastAsia="方正仿宋简体"/>
          <w:b/>
          <w:sz w:val="30"/>
          <w:szCs w:val="30"/>
        </w:rPr>
        <w:t>五</w:t>
      </w:r>
      <w:r>
        <w:rPr>
          <w:rFonts w:eastAsia="方正仿宋简体"/>
          <w:b/>
          <w:sz w:val="30"/>
          <w:szCs w:val="30"/>
        </w:rPr>
        <w:t>条</w:t>
      </w:r>
      <w:r>
        <w:rPr>
          <w:rFonts w:eastAsia="方正仿宋简体"/>
          <w:sz w:val="30"/>
          <w:szCs w:val="30"/>
        </w:rPr>
        <w:t xml:space="preserve"> 螺纹钢期货合约上市运行不同阶段的交易保证金收取标准为：</w:t>
      </w:r>
    </w:p>
    <w:tbl>
      <w:tblPr>
        <w:tblStyle w:val="4"/>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tcPr>
          <w:p>
            <w:pPr>
              <w:spacing w:line="360" w:lineRule="auto"/>
              <w:ind w:firstLine="481" w:firstLineChars="200"/>
              <w:jc w:val="center"/>
              <w:rPr>
                <w:rFonts w:eastAsia="方正仿宋简体"/>
                <w:b/>
                <w:bCs/>
                <w:color w:val="000000"/>
                <w:sz w:val="24"/>
              </w:rPr>
            </w:pPr>
            <w:r>
              <w:rPr>
                <w:rFonts w:eastAsia="方正仿宋简体"/>
                <w:b/>
                <w:bCs/>
                <w:color w:val="000000"/>
                <w:sz w:val="24"/>
              </w:rPr>
              <w:t>交易时间段</w:t>
            </w:r>
          </w:p>
        </w:tc>
        <w:tc>
          <w:tcPr>
            <w:tcW w:w="3734"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
                <w:bCs/>
                <w:color w:val="000000"/>
                <w:sz w:val="24"/>
              </w:rPr>
            </w:pPr>
            <w:r>
              <w:rPr>
                <w:rFonts w:eastAsia="方正仿宋简体"/>
                <w:b/>
                <w:bCs/>
                <w:color w:val="000000"/>
                <w:sz w:val="24"/>
              </w:rPr>
              <w:t>螺纹钢交易保证金比例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Cs/>
                <w:color w:val="000000"/>
                <w:sz w:val="24"/>
              </w:rPr>
            </w:pPr>
            <w:r>
              <w:rPr>
                <w:rFonts w:eastAsia="方正仿宋简体"/>
                <w:bCs/>
                <w:color w:val="000000"/>
                <w:sz w:val="24"/>
              </w:rPr>
              <w:t>合约挂牌之日起</w:t>
            </w:r>
          </w:p>
        </w:tc>
        <w:tc>
          <w:tcPr>
            <w:tcW w:w="3734"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Cs/>
                <w:color w:val="000000"/>
                <w:sz w:val="24"/>
              </w:rPr>
            </w:pPr>
            <w:r>
              <w:rPr>
                <w:rFonts w:eastAsia="方正仿宋简体"/>
                <w:bCs/>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Cs/>
                <w:color w:val="000000"/>
                <w:sz w:val="24"/>
              </w:rPr>
            </w:pPr>
            <w:r>
              <w:rPr>
                <w:rFonts w:eastAsia="方正仿宋简体"/>
                <w:bCs/>
                <w:color w:val="000000"/>
                <w:sz w:val="24"/>
              </w:rPr>
              <w:t>交割月前第一月的第一个交易日起</w:t>
            </w:r>
          </w:p>
        </w:tc>
        <w:tc>
          <w:tcPr>
            <w:tcW w:w="3734"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Cs/>
                <w:color w:val="000000"/>
                <w:sz w:val="24"/>
              </w:rPr>
            </w:pPr>
            <w:r>
              <w:rPr>
                <w:rFonts w:eastAsia="方正仿宋简体"/>
                <w:bCs/>
                <w:color w:val="000000"/>
                <w:sz w:val="24"/>
              </w:rPr>
              <w:t>交割月份第一个交易日起</w:t>
            </w:r>
          </w:p>
        </w:tc>
        <w:tc>
          <w:tcPr>
            <w:tcW w:w="3734"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Cs/>
                <w:color w:val="000000"/>
                <w:sz w:val="24"/>
              </w:rPr>
            </w:pPr>
            <w:r>
              <w:rPr>
                <w:rFonts w:eastAsia="方正仿宋简体"/>
                <w:bCs/>
                <w:color w:val="000000"/>
                <w:sz w:val="24"/>
              </w:rPr>
              <w:t>最后交易日前二个交易日起</w:t>
            </w:r>
          </w:p>
        </w:tc>
        <w:tc>
          <w:tcPr>
            <w:tcW w:w="3734"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方正仿宋简体"/>
                <w:bCs/>
                <w:color w:val="000000"/>
                <w:sz w:val="24"/>
              </w:rPr>
            </w:pPr>
            <w:r>
              <w:rPr>
                <w:rFonts w:eastAsia="方正仿宋简体"/>
                <w:bCs/>
                <w:color w:val="000000"/>
                <w:sz w:val="24"/>
              </w:rPr>
              <w:t>20%</w:t>
            </w:r>
          </w:p>
        </w:tc>
      </w:tr>
    </w:tbl>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六</w:t>
      </w:r>
      <w:r>
        <w:rPr>
          <w:rFonts w:eastAsia="方正仿宋简体"/>
          <w:b/>
          <w:sz w:val="30"/>
          <w:szCs w:val="30"/>
        </w:rPr>
        <w:t xml:space="preserve">条 </w:t>
      </w:r>
      <w:r>
        <w:rPr>
          <w:rFonts w:eastAsia="方正仿宋简体"/>
          <w:sz w:val="30"/>
          <w:szCs w:val="30"/>
        </w:rPr>
        <w:t>螺纹钢期货合约涨跌停板幅度为上一交易日结算价±3%。</w:t>
      </w:r>
    </w:p>
    <w:p>
      <w:pPr>
        <w:spacing w:line="560" w:lineRule="exact"/>
        <w:ind w:firstLine="602" w:firstLineChars="200"/>
        <w:rPr>
          <w:rFonts w:eastAsia="方正仿宋简体"/>
          <w:bCs/>
          <w:color w:val="000000"/>
          <w:sz w:val="24"/>
        </w:rPr>
      </w:pPr>
      <w:r>
        <w:rPr>
          <w:rFonts w:eastAsia="方正仿宋简体"/>
          <w:b/>
          <w:sz w:val="30"/>
          <w:szCs w:val="30"/>
        </w:rPr>
        <w:t>第四十</w:t>
      </w:r>
      <w:r>
        <w:rPr>
          <w:rFonts w:hint="eastAsia" w:eastAsia="方正仿宋简体"/>
          <w:b/>
          <w:sz w:val="30"/>
          <w:szCs w:val="30"/>
        </w:rPr>
        <w:t>七</w:t>
      </w:r>
      <w:r>
        <w:rPr>
          <w:rFonts w:eastAsia="方正仿宋简体"/>
          <w:b/>
          <w:sz w:val="30"/>
          <w:szCs w:val="30"/>
        </w:rPr>
        <w:t>条</w:t>
      </w:r>
      <w:r>
        <w:rPr>
          <w:rFonts w:eastAsia="方正仿宋简体"/>
          <w:sz w:val="30"/>
          <w:szCs w:val="30"/>
        </w:rPr>
        <w:t xml:space="preserve"> 螺纹钢期货合约在不同时期的限仓比例和限仓数额具体规定如下：</w:t>
      </w:r>
    </w:p>
    <w:p>
      <w:pPr>
        <w:spacing w:line="560" w:lineRule="exact"/>
        <w:ind w:firstLine="480" w:firstLineChars="200"/>
        <w:rPr>
          <w:rFonts w:eastAsia="方正仿宋简体"/>
          <w:bCs/>
          <w:color w:val="000000"/>
          <w:sz w:val="24"/>
        </w:rPr>
      </w:pPr>
      <w:r>
        <w:rPr>
          <w:rFonts w:eastAsia="方正仿宋简体"/>
          <w:bCs/>
          <w:color w:val="000000"/>
          <w:sz w:val="24"/>
        </w:rPr>
        <w:t>（单位：手）</w:t>
      </w:r>
    </w:p>
    <w:tbl>
      <w:tblPr>
        <w:tblStyle w:val="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63"/>
        <w:gridCol w:w="1664"/>
        <w:gridCol w:w="1060"/>
        <w:gridCol w:w="972"/>
        <w:gridCol w:w="1054"/>
        <w:gridCol w:w="947"/>
        <w:gridCol w:w="992"/>
        <w:gridCol w:w="7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576"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p>
        </w:tc>
        <w:tc>
          <w:tcPr>
            <w:tcW w:w="2210" w:type="pct"/>
            <w:gridSpan w:val="3"/>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合约挂牌至交割月前第二月的最后一个交易日</w:t>
            </w:r>
          </w:p>
        </w:tc>
        <w:tc>
          <w:tcPr>
            <w:tcW w:w="1196"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交割月前</w:t>
            </w:r>
          </w:p>
          <w:p>
            <w:pPr>
              <w:widowControl/>
              <w:spacing w:line="560" w:lineRule="exact"/>
              <w:jc w:val="center"/>
              <w:rPr>
                <w:rFonts w:eastAsia="方正仿宋简体"/>
                <w:kern w:val="0"/>
                <w:sz w:val="24"/>
              </w:rPr>
            </w:pPr>
            <w:r>
              <w:rPr>
                <w:rFonts w:eastAsia="方正仿宋简体"/>
                <w:bCs/>
                <w:color w:val="000000"/>
                <w:kern w:val="0"/>
                <w:sz w:val="24"/>
              </w:rPr>
              <w:t>第一月</w:t>
            </w:r>
          </w:p>
        </w:tc>
        <w:tc>
          <w:tcPr>
            <w:tcW w:w="1016"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76"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95" w:type="pct"/>
            <w:vMerge w:val="restar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某一期</w:t>
            </w:r>
          </w:p>
          <w:p>
            <w:pPr>
              <w:widowControl/>
              <w:spacing w:line="560" w:lineRule="exact"/>
              <w:jc w:val="center"/>
              <w:rPr>
                <w:rFonts w:eastAsia="方正仿宋简体"/>
                <w:kern w:val="0"/>
                <w:sz w:val="24"/>
              </w:rPr>
            </w:pPr>
            <w:r>
              <w:rPr>
                <w:rFonts w:eastAsia="方正仿宋简体"/>
                <w:bCs/>
                <w:color w:val="000000"/>
                <w:kern w:val="0"/>
                <w:sz w:val="24"/>
              </w:rPr>
              <w:t>货合约</w:t>
            </w:r>
          </w:p>
          <w:p>
            <w:pPr>
              <w:widowControl/>
              <w:spacing w:line="560" w:lineRule="exact"/>
              <w:jc w:val="center"/>
              <w:rPr>
                <w:rFonts w:eastAsia="方正仿宋简体"/>
                <w:kern w:val="0"/>
                <w:sz w:val="24"/>
              </w:rPr>
            </w:pPr>
            <w:r>
              <w:rPr>
                <w:rFonts w:eastAsia="方正仿宋简体"/>
                <w:bCs/>
                <w:color w:val="000000"/>
                <w:kern w:val="0"/>
                <w:sz w:val="24"/>
              </w:rPr>
              <w:t>持仓量</w:t>
            </w:r>
          </w:p>
        </w:tc>
        <w:tc>
          <w:tcPr>
            <w:tcW w:w="1215" w:type="pct"/>
            <w:gridSpan w:val="2"/>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限仓比例（</w:t>
            </w:r>
            <w:r>
              <w:rPr>
                <w:rFonts w:hint="eastAsia" w:eastAsia="方正仿宋简体"/>
                <w:bCs/>
                <w:color w:val="000000"/>
                <w:kern w:val="0"/>
                <w:sz w:val="24"/>
              </w:rPr>
              <w:t>%</w:t>
            </w:r>
            <w:r>
              <w:rPr>
                <w:rFonts w:eastAsia="方正仿宋简体"/>
                <w:bCs/>
                <w:color w:val="000000"/>
                <w:kern w:val="0"/>
                <w:sz w:val="24"/>
              </w:rPr>
              <w:t>）</w:t>
            </w:r>
          </w:p>
          <w:p>
            <w:pPr>
              <w:widowControl/>
              <w:spacing w:line="560" w:lineRule="exact"/>
              <w:jc w:val="center"/>
              <w:rPr>
                <w:rFonts w:hint="eastAsia" w:eastAsia="方正仿宋简体"/>
                <w:kern w:val="0"/>
                <w:sz w:val="24"/>
                <w:lang w:eastAsia="zh-CN"/>
              </w:rPr>
            </w:pPr>
            <w:r>
              <w:rPr>
                <w:rFonts w:eastAsia="方正仿宋简体"/>
                <w:bCs/>
                <w:color w:val="000000"/>
                <w:kern w:val="0"/>
                <w:sz w:val="24"/>
              </w:rPr>
              <w:t>和限仓数额</w:t>
            </w:r>
            <w:r>
              <w:rPr>
                <w:rFonts w:hint="eastAsia" w:eastAsia="方正仿宋简体"/>
                <w:bCs/>
                <w:color w:val="000000"/>
                <w:kern w:val="0"/>
                <w:sz w:val="24"/>
                <w:lang w:eastAsia="zh-CN"/>
              </w:rPr>
              <w:t>（手）</w:t>
            </w:r>
          </w:p>
        </w:tc>
        <w:tc>
          <w:tcPr>
            <w:tcW w:w="1196"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c>
          <w:tcPr>
            <w:tcW w:w="1016"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76"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95" w:type="pct"/>
            <w:vMerge w:val="continue"/>
            <w:tcBorders>
              <w:top w:val="single" w:color="auto" w:sz="6" w:space="0"/>
              <w:left w:val="single" w:color="auto" w:sz="4" w:space="0"/>
              <w:bottom w:val="single" w:color="auto" w:sz="6" w:space="0"/>
              <w:right w:val="single" w:color="auto" w:sz="4" w:space="0"/>
            </w:tcBorders>
            <w:vAlign w:val="center"/>
          </w:tcPr>
          <w:p>
            <w:pPr>
              <w:widowControl/>
              <w:spacing w:line="560" w:lineRule="exact"/>
              <w:jc w:val="left"/>
              <w:rPr>
                <w:rFonts w:eastAsia="方正仿宋简体"/>
                <w:kern w:val="0"/>
                <w:sz w:val="24"/>
              </w:rPr>
            </w:pPr>
          </w:p>
        </w:tc>
        <w:tc>
          <w:tcPr>
            <w:tcW w:w="634"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58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63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565"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593"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423"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576"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螺纹钢</w:t>
            </w:r>
          </w:p>
        </w:tc>
        <w:tc>
          <w:tcPr>
            <w:tcW w:w="995" w:type="pc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hint="eastAsia" w:ascii="方正仿宋简体" w:eastAsia="方正仿宋简体"/>
                <w:bCs/>
                <w:color w:val="000000"/>
                <w:kern w:val="0"/>
                <w:sz w:val="24"/>
              </w:rPr>
              <w:t>≥</w:t>
            </w:r>
            <w:r>
              <w:rPr>
                <w:rFonts w:eastAsia="方正仿宋简体"/>
                <w:bCs/>
                <w:color w:val="000000"/>
                <w:kern w:val="0"/>
                <w:sz w:val="24"/>
              </w:rPr>
              <w:t>90万手</w:t>
            </w:r>
          </w:p>
        </w:tc>
        <w:tc>
          <w:tcPr>
            <w:tcW w:w="634"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10</w:t>
            </w:r>
          </w:p>
        </w:tc>
        <w:tc>
          <w:tcPr>
            <w:tcW w:w="58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10</w:t>
            </w:r>
          </w:p>
        </w:tc>
        <w:tc>
          <w:tcPr>
            <w:tcW w:w="630"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4500</w:t>
            </w:r>
          </w:p>
        </w:tc>
        <w:tc>
          <w:tcPr>
            <w:tcW w:w="565"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4500</w:t>
            </w:r>
          </w:p>
        </w:tc>
        <w:tc>
          <w:tcPr>
            <w:tcW w:w="593"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900</w:t>
            </w:r>
          </w:p>
        </w:tc>
        <w:tc>
          <w:tcPr>
            <w:tcW w:w="423"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576"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95" w:type="pc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＜90万手</w:t>
            </w:r>
          </w:p>
        </w:tc>
        <w:tc>
          <w:tcPr>
            <w:tcW w:w="634"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90000</w:t>
            </w:r>
          </w:p>
        </w:tc>
        <w:tc>
          <w:tcPr>
            <w:tcW w:w="58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90000</w:t>
            </w:r>
          </w:p>
        </w:tc>
        <w:tc>
          <w:tcPr>
            <w:tcW w:w="630"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56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593"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423"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r>
    </w:tbl>
    <w:p>
      <w:pPr>
        <w:spacing w:line="560" w:lineRule="exact"/>
        <w:rPr>
          <w:rFonts w:eastAsia="方正仿宋简体"/>
          <w:bCs/>
          <w:color w:val="000000"/>
          <w:sz w:val="24"/>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八</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交割月前第一月的最后一个交易日收盘前，</w:t>
      </w:r>
      <w:r>
        <w:rPr>
          <w:rFonts w:hint="eastAsia" w:eastAsia="方正仿宋简体"/>
          <w:sz w:val="30"/>
          <w:szCs w:val="30"/>
        </w:rPr>
        <w:t>交易者（即客户、非期货公司会员，下同）</w:t>
      </w:r>
      <w:r>
        <w:rPr>
          <w:rFonts w:eastAsia="方正仿宋简体"/>
          <w:sz w:val="30"/>
          <w:szCs w:val="30"/>
        </w:rPr>
        <w:t>在每个</w:t>
      </w:r>
      <w:r>
        <w:rPr>
          <w:rFonts w:hint="eastAsia" w:eastAsia="方正仿宋简体"/>
          <w:sz w:val="30"/>
          <w:szCs w:val="30"/>
        </w:rPr>
        <w:t>交易编码上的</w:t>
      </w:r>
      <w:r>
        <w:rPr>
          <w:rFonts w:eastAsia="方正仿宋简体"/>
          <w:sz w:val="30"/>
          <w:szCs w:val="30"/>
        </w:rPr>
        <w:t>螺纹钢期货合约的</w:t>
      </w:r>
      <w:r>
        <w:rPr>
          <w:rFonts w:hint="eastAsia" w:eastAsia="方正仿宋简体"/>
          <w:sz w:val="30"/>
          <w:szCs w:val="30"/>
        </w:rPr>
        <w:t>一般</w:t>
      </w:r>
      <w:r>
        <w:rPr>
          <w:rFonts w:eastAsia="方正仿宋简体"/>
          <w:sz w:val="30"/>
          <w:szCs w:val="30"/>
        </w:rPr>
        <w:t>持仓应当调整为30手的整倍数（遇市场特殊情况无法按期调整的，可以顺延一天）</w:t>
      </w:r>
      <w:r>
        <w:rPr>
          <w:rFonts w:hint="eastAsia" w:eastAsia="方正仿宋简体"/>
          <w:sz w:val="30"/>
          <w:szCs w:val="30"/>
        </w:rPr>
        <w:t>；</w:t>
      </w:r>
      <w:r>
        <w:rPr>
          <w:rFonts w:eastAsia="方正仿宋简体"/>
          <w:sz w:val="30"/>
          <w:szCs w:val="30"/>
        </w:rPr>
        <w:t>进入交割月后，螺纹钢期货合约</w:t>
      </w:r>
      <w:r>
        <w:rPr>
          <w:rFonts w:hint="eastAsia" w:eastAsia="方正仿宋简体"/>
          <w:sz w:val="30"/>
          <w:szCs w:val="30"/>
        </w:rPr>
        <w:t>一般</w:t>
      </w:r>
      <w:r>
        <w:rPr>
          <w:rFonts w:eastAsia="方正仿宋简体"/>
          <w:sz w:val="30"/>
          <w:szCs w:val="30"/>
        </w:rPr>
        <w:t>持仓应当是30手的整倍数，新开仓、平仓也应当是30手的整倍数。</w:t>
      </w:r>
    </w:p>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九</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交易所对某一螺纹钢期货合约采取强制减仓的，其申报平仓数量、</w:t>
      </w:r>
      <w:r>
        <w:rPr>
          <w:rFonts w:eastAsia="方正仿宋简体"/>
          <w:color w:val="000000"/>
          <w:sz w:val="30"/>
          <w:szCs w:val="30"/>
        </w:rPr>
        <w:t>持仓盈利</w:t>
      </w:r>
      <w:r>
        <w:rPr>
          <w:rFonts w:hint="eastAsia" w:eastAsia="方正仿宋简体"/>
          <w:color w:val="000000"/>
          <w:sz w:val="30"/>
          <w:szCs w:val="30"/>
        </w:rPr>
        <w:t>交易者</w:t>
      </w:r>
      <w:r>
        <w:rPr>
          <w:rFonts w:eastAsia="方正仿宋简体"/>
          <w:color w:val="000000"/>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sz w:val="30"/>
          <w:szCs w:val="30"/>
        </w:rPr>
        <w:t>交易者</w:t>
      </w:r>
      <w:r>
        <w:rPr>
          <w:rFonts w:eastAsia="方正仿宋简体"/>
          <w:sz w:val="30"/>
          <w:szCs w:val="30"/>
        </w:rPr>
        <w:t>该螺纹钢期货合约的单位净持仓亏损大于或者等于强制减仓基准日结算价6%的所有申报平仓数量的总和为平仓数量。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w:t>
      </w:r>
      <w:r>
        <w:rPr>
          <w:rFonts w:eastAsia="方正仿宋简体"/>
          <w:color w:val="000000"/>
          <w:sz w:val="30"/>
          <w:szCs w:val="30"/>
        </w:rPr>
        <w:t>持仓以及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的不同分成四级，逐级进行分配。首先分配给属平仓范围内单位净持仓盈利大于或者等于强制减仓基准日结算价6%的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持仓；其次分配给单位净持仓盈利大于或者等于强制减仓基准日结算价3%，小于6%的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持仓；再次分配给单位净持仓盈利小于强制减仓基准日结算价3%的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hint="eastAsia" w:eastAsia="方正仿宋简体"/>
          <w:color w:val="000000"/>
          <w:sz w:val="30"/>
          <w:szCs w:val="30"/>
        </w:rPr>
        <w:t>持仓</w:t>
      </w:r>
      <w:r>
        <w:rPr>
          <w:rFonts w:eastAsia="方正仿宋简体"/>
          <w:color w:val="000000"/>
          <w:sz w:val="30"/>
          <w:szCs w:val="30"/>
        </w:rPr>
        <w:t>数量之比进行分配</w:t>
      </w:r>
      <w:r>
        <w:rPr>
          <w:rFonts w:hint="eastAsia" w:eastAsia="方正仿宋简体"/>
          <w:color w:val="000000"/>
          <w:sz w:val="30"/>
          <w:szCs w:val="30"/>
        </w:rPr>
        <w:t>。</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（四）平仓数量的分配方法。盈利6%以上的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持仓数量大于或者等于申报平仓数量的，根据申报平仓数量与盈利6%以上的</w:t>
      </w:r>
      <w:r>
        <w:rPr>
          <w:rFonts w:hint="eastAsia" w:eastAsia="方正仿宋简体"/>
          <w:color w:val="000000"/>
          <w:sz w:val="30"/>
          <w:szCs w:val="30"/>
        </w:rPr>
        <w:t>一般</w:t>
      </w:r>
      <w:r>
        <w:rPr>
          <w:rFonts w:eastAsia="方正仿宋简体"/>
          <w:color w:val="000000"/>
          <w:sz w:val="30"/>
          <w:szCs w:val="30"/>
        </w:rPr>
        <w:t>持仓数量的比例，将申报平仓数量向盈利6%以上的</w:t>
      </w:r>
      <w:r>
        <w:rPr>
          <w:rFonts w:hint="eastAsia" w:eastAsia="方正仿宋简体"/>
          <w:color w:val="000000"/>
          <w:sz w:val="30"/>
          <w:szCs w:val="30"/>
        </w:rPr>
        <w:t>一般</w:t>
      </w:r>
      <w:r>
        <w:rPr>
          <w:rFonts w:eastAsia="方正仿宋简体"/>
          <w:color w:val="000000"/>
          <w:sz w:val="30"/>
          <w:szCs w:val="30"/>
        </w:rPr>
        <w:t>持仓分配实际平仓数量；盈利6%以上的</w:t>
      </w:r>
      <w:r>
        <w:rPr>
          <w:rFonts w:hint="eastAsia" w:eastAsia="方正仿宋简体"/>
          <w:color w:val="000000"/>
          <w:sz w:val="30"/>
          <w:szCs w:val="30"/>
        </w:rPr>
        <w:t>一般</w:t>
      </w:r>
      <w:r>
        <w:rPr>
          <w:rFonts w:eastAsia="方正仿宋简体"/>
          <w:color w:val="000000"/>
          <w:sz w:val="30"/>
          <w:szCs w:val="30"/>
        </w:rPr>
        <w:t>持仓数量小于申报平仓数量的，根据盈利6%以上的</w:t>
      </w:r>
      <w:r>
        <w:rPr>
          <w:rFonts w:hint="eastAsia" w:eastAsia="方正仿宋简体"/>
          <w:color w:val="000000"/>
          <w:sz w:val="30"/>
          <w:szCs w:val="30"/>
        </w:rPr>
        <w:t>一般</w:t>
      </w:r>
      <w:r>
        <w:rPr>
          <w:rFonts w:eastAsia="方正仿宋简体"/>
          <w:color w:val="000000"/>
          <w:sz w:val="30"/>
          <w:szCs w:val="30"/>
        </w:rPr>
        <w:t>持仓数量与申报平仓数量的比例，将盈利6%以上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分配实际平仓数量。再把剩余的申报平仓数量按上述的分配方法向盈利3%以上的</w:t>
      </w:r>
      <w:r>
        <w:rPr>
          <w:rFonts w:hint="eastAsia" w:eastAsia="方正仿宋简体"/>
          <w:color w:val="000000"/>
          <w:sz w:val="30"/>
          <w:szCs w:val="30"/>
        </w:rPr>
        <w:t>一般</w:t>
      </w:r>
      <w:r>
        <w:rPr>
          <w:rFonts w:eastAsia="方正仿宋简体"/>
          <w:color w:val="000000"/>
          <w:sz w:val="30"/>
          <w:szCs w:val="30"/>
        </w:rPr>
        <w:t>持仓分配；还有剩余的，再向盈利3%以下的</w:t>
      </w:r>
      <w:r>
        <w:rPr>
          <w:rFonts w:hint="eastAsia" w:eastAsia="方正仿宋简体"/>
          <w:color w:val="000000"/>
          <w:sz w:val="30"/>
          <w:szCs w:val="30"/>
        </w:rPr>
        <w:t>一般</w:t>
      </w:r>
      <w:r>
        <w:rPr>
          <w:rFonts w:eastAsia="方正仿宋简体"/>
          <w:color w:val="000000"/>
          <w:sz w:val="30"/>
          <w:szCs w:val="30"/>
        </w:rPr>
        <w:t>持仓分配；再有剩余的，再向盈利6%以上的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60" w:lineRule="exact"/>
        <w:jc w:val="center"/>
        <w:rPr>
          <w:rFonts w:ascii="黑体" w:hAnsi="黑体" w:eastAsia="黑体"/>
          <w:sz w:val="30"/>
          <w:szCs w:val="30"/>
        </w:rPr>
      </w:pPr>
      <w:r>
        <w:rPr>
          <w:rFonts w:ascii="黑体" w:hAnsi="黑体" w:eastAsia="黑体"/>
          <w:sz w:val="30"/>
          <w:szCs w:val="30"/>
        </w:rPr>
        <w:t>第五章 附则</w:t>
      </w:r>
    </w:p>
    <w:p>
      <w:pPr>
        <w:spacing w:line="560" w:lineRule="exact"/>
        <w:ind w:firstLine="602" w:firstLineChars="200"/>
        <w:rPr>
          <w:rFonts w:eastAsia="方正仿宋简体"/>
          <w:b/>
          <w:sz w:val="30"/>
          <w:szCs w:val="30"/>
        </w:rPr>
      </w:pPr>
      <w:r>
        <w:rPr>
          <w:rFonts w:eastAsia="方正仿宋简体"/>
          <w:b/>
          <w:sz w:val="30"/>
          <w:szCs w:val="30"/>
        </w:rPr>
        <w:t>第</w:t>
      </w:r>
      <w:r>
        <w:rPr>
          <w:rFonts w:hint="eastAsia" w:eastAsia="方正仿宋简体"/>
          <w:b/>
          <w:sz w:val="30"/>
          <w:szCs w:val="30"/>
        </w:rPr>
        <w:t>五十</w:t>
      </w:r>
      <w:r>
        <w:rPr>
          <w:rFonts w:eastAsia="方正仿宋简体"/>
          <w:b/>
          <w:sz w:val="30"/>
          <w:szCs w:val="30"/>
        </w:rPr>
        <w:t xml:space="preserve">条 </w:t>
      </w:r>
      <w:r>
        <w:rPr>
          <w:rFonts w:eastAsia="方正仿宋简体"/>
          <w:sz w:val="30"/>
          <w:szCs w:val="30"/>
        </w:rPr>
        <w:t>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五十一</w:t>
      </w:r>
      <w:r>
        <w:rPr>
          <w:rFonts w:eastAsia="方正仿宋简体"/>
          <w:b/>
          <w:sz w:val="30"/>
          <w:szCs w:val="30"/>
        </w:rPr>
        <w:t>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五十二</w:t>
      </w:r>
      <w:r>
        <w:rPr>
          <w:rFonts w:eastAsia="方正仿宋简体"/>
          <w:b/>
          <w:sz w:val="30"/>
          <w:szCs w:val="30"/>
        </w:rPr>
        <w:t xml:space="preserve">条 </w:t>
      </w:r>
      <w:r>
        <w:rPr>
          <w:rFonts w:eastAsia="方正仿宋简体"/>
          <w:sz w:val="30"/>
          <w:szCs w:val="30"/>
        </w:rPr>
        <w:t>本细则的解释权属于上海期货交易所。</w:t>
      </w:r>
    </w:p>
    <w:p>
      <w:pPr>
        <w:spacing w:line="560" w:lineRule="exact"/>
        <w:ind w:firstLine="602" w:firstLineChars="200"/>
        <w:rPr>
          <w:rFonts w:eastAsia="方正仿宋简体" w:cs="Arial"/>
          <w:color w:val="000000"/>
          <w:kern w:val="0"/>
          <w:sz w:val="28"/>
          <w:szCs w:val="28"/>
        </w:rPr>
      </w:pPr>
      <w:r>
        <w:rPr>
          <w:rFonts w:eastAsia="方正仿宋简体"/>
          <w:b/>
          <w:sz w:val="30"/>
          <w:szCs w:val="30"/>
        </w:rPr>
        <w:t>第</w:t>
      </w:r>
      <w:r>
        <w:rPr>
          <w:rFonts w:hint="eastAsia" w:eastAsia="方正仿宋简体"/>
          <w:b/>
          <w:sz w:val="30"/>
          <w:szCs w:val="30"/>
        </w:rPr>
        <w:t>五十三</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EE3BE"/>
    <w:rsid w:val="775FCC0F"/>
    <w:rsid w:val="77BEE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2025-12-31T00:28:00Z</dcterms:created>
  <dc:creator>ji.shuoren</dc:creator>
  <cp:lastModifiedBy>ji.shuoren</cp:lastModifiedBy>
  <dcterms:modified xsi:type="dcterms:W3CDTF">2025-12-31T09:44:36Z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D5DAD8F9AF272D8D348D53692B447FF6</vt:lpwstr>
  </property>
</Properties>
</file>