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上海期货交易所铝期货业务细则</w:t>
      </w:r>
    </w:p>
    <w:p>
      <w:pPr>
        <w:spacing w:line="560" w:lineRule="exact"/>
        <w:jc w:val="center"/>
        <w:rPr>
          <w:rFonts w:eastAsia="方正黑体简体"/>
          <w:sz w:val="30"/>
          <w:szCs w:val="30"/>
        </w:rPr>
      </w:pPr>
    </w:p>
    <w:p>
      <w:pPr>
        <w:spacing w:line="560" w:lineRule="exact"/>
        <w:jc w:val="center"/>
        <w:rPr>
          <w:rFonts w:eastAsia="方正黑体简体"/>
          <w:sz w:val="30"/>
          <w:szCs w:val="30"/>
        </w:rPr>
      </w:pPr>
      <w:r>
        <w:rPr>
          <w:rFonts w:eastAsia="方正黑体简体"/>
          <w:sz w:val="30"/>
          <w:szCs w:val="30"/>
        </w:rPr>
        <w:t>第一章</w:t>
      </w:r>
      <w:r>
        <w:rPr>
          <w:rFonts w:hint="eastAsia" w:eastAsia="方正黑体简体"/>
          <w:sz w:val="30"/>
          <w:szCs w:val="30"/>
        </w:rPr>
        <w:t xml:space="preserve"> </w:t>
      </w:r>
      <w:r>
        <w:rPr>
          <w:rFonts w:eastAsia="方正黑体简体"/>
          <w:sz w:val="30"/>
          <w:szCs w:val="30"/>
        </w:rPr>
        <w:t>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为了规范上海期货交易所（以下简称交易所）铝期货相关业务，根据《上海期货交易所交易规则》《上海期货交易所铝期货合约》以及相关业务规则，制定本细则。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铝期货合约的交易单位为5吨/手。</w:t>
      </w:r>
    </w:p>
    <w:p>
      <w:pPr>
        <w:spacing w:line="56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铝期货合约的报价单位为元（人民币）/吨。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铝期货合约的最小变动价位为5元/吨。</w:t>
      </w:r>
    </w:p>
    <w:p>
      <w:pPr>
        <w:spacing w:line="560" w:lineRule="exact"/>
        <w:ind w:firstLine="602" w:firstLineChars="200"/>
        <w:rPr>
          <w:rFonts w:eastAsia="方正仿宋简体"/>
          <w:b/>
          <w:sz w:val="30"/>
          <w:szCs w:val="30"/>
        </w:rPr>
      </w:pPr>
      <w:r>
        <w:rPr>
          <w:rFonts w:eastAsia="方正仿宋简体"/>
          <w:b/>
          <w:sz w:val="30"/>
          <w:szCs w:val="30"/>
        </w:rPr>
        <w:t xml:space="preserve">第六条 </w:t>
      </w:r>
      <w:r>
        <w:rPr>
          <w:rFonts w:eastAsia="方正仿宋简体"/>
          <w:sz w:val="30"/>
          <w:szCs w:val="30"/>
        </w:rPr>
        <w:t>铝期货合约月份为1~12月。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铝期货合约的交易时间为上午9:00~11:30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铝期货合约的最后交易日为合约月份的15日，遇国家法定节假日顺延，春节月份等最后交易日交易所可另行调整并通知。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铝期货合约的交易代码为AL。</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铝期货套期保值交易</w:t>
      </w:r>
      <w:r>
        <w:rPr>
          <w:rFonts w:hint="eastAsia" w:eastAsia="方正仿宋简体"/>
          <w:sz w:val="30"/>
          <w:szCs w:val="30"/>
        </w:rPr>
        <w:t>持仓</w:t>
      </w:r>
      <w:r>
        <w:rPr>
          <w:rFonts w:eastAsia="方正仿宋简体"/>
          <w:sz w:val="30"/>
          <w:szCs w:val="30"/>
        </w:rPr>
        <w:t>额度和套利交易</w:t>
      </w:r>
      <w:r>
        <w:rPr>
          <w:rFonts w:hint="eastAsia" w:eastAsia="方正仿宋简体"/>
          <w:sz w:val="30"/>
          <w:szCs w:val="30"/>
        </w:rPr>
        <w:t>持仓</w:t>
      </w:r>
      <w:r>
        <w:rPr>
          <w:rFonts w:eastAsia="方正仿宋简体"/>
          <w:sz w:val="30"/>
          <w:szCs w:val="30"/>
        </w:rPr>
        <w:t>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铝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b/>
          <w:sz w:val="30"/>
          <w:szCs w:val="30"/>
        </w:rPr>
      </w:pPr>
      <w:r>
        <w:rPr>
          <w:rFonts w:eastAsia="方正仿宋简体"/>
          <w:sz w:val="30"/>
          <w:szCs w:val="30"/>
        </w:rPr>
        <w:t>铝期货临近交割月份套期保值交易</w:t>
      </w:r>
      <w:r>
        <w:rPr>
          <w:rFonts w:hint="eastAsia" w:eastAsia="方正仿宋简体"/>
          <w:sz w:val="30"/>
          <w:szCs w:val="30"/>
        </w:rPr>
        <w:t>持仓</w:t>
      </w:r>
      <w:r>
        <w:rPr>
          <w:rFonts w:eastAsia="方正仿宋简体"/>
          <w:sz w:val="30"/>
          <w:szCs w:val="30"/>
        </w:rPr>
        <w:t>额度的申请应当在该套期保值所涉合约交割月前第</w:t>
      </w:r>
      <w:r>
        <w:rPr>
          <w:rFonts w:hint="eastAsia" w:eastAsia="方正仿宋简体"/>
          <w:bCs/>
          <w:sz w:val="30"/>
          <w:szCs w:val="30"/>
        </w:rPr>
        <w:t>二</w:t>
      </w:r>
      <w:r>
        <w:rPr>
          <w:rFonts w:eastAsia="方正仿宋简体"/>
          <w:sz w:val="30"/>
          <w:szCs w:val="30"/>
        </w:rPr>
        <w:t>月的第一个交易日至交割月前第一月的最后一个交易日之间提出，逾期交易所不再受理；铝期货临近交割月份套利交易</w:t>
      </w:r>
      <w:r>
        <w:rPr>
          <w:rFonts w:hint="eastAsia" w:eastAsia="方正仿宋简体"/>
          <w:sz w:val="30"/>
          <w:szCs w:val="30"/>
        </w:rPr>
        <w:t>持仓</w:t>
      </w:r>
      <w:r>
        <w:rPr>
          <w:rFonts w:eastAsia="方正仿宋简体"/>
          <w:sz w:val="30"/>
          <w:szCs w:val="30"/>
        </w:rPr>
        <w:t>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第十二条 </w:t>
      </w:r>
      <w:r>
        <w:rPr>
          <w:rFonts w:eastAsia="方正仿宋简体"/>
          <w:sz w:val="30"/>
          <w:szCs w:val="30"/>
        </w:rPr>
        <w:t>铝期货套期保值交易</w:t>
      </w:r>
      <w:r>
        <w:rPr>
          <w:rFonts w:hint="eastAsia" w:eastAsia="方正仿宋简体"/>
          <w:sz w:val="30"/>
          <w:szCs w:val="30"/>
        </w:rPr>
        <w:t>持仓</w:t>
      </w:r>
      <w:r>
        <w:rPr>
          <w:rFonts w:eastAsia="方正仿宋简体"/>
          <w:sz w:val="30"/>
          <w:szCs w:val="30"/>
        </w:rPr>
        <w:t>额度自交割月份第一交易日起不得重复使用。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铝期货适用期货转现货、仓库交割。</w:t>
      </w:r>
    </w:p>
    <w:p>
      <w:pPr>
        <w:spacing w:line="560" w:lineRule="exact"/>
        <w:ind w:firstLine="600" w:firstLineChars="200"/>
        <w:rPr>
          <w:rFonts w:eastAsia="方正仿宋简体"/>
          <w:b/>
          <w:sz w:val="30"/>
          <w:szCs w:val="30"/>
        </w:rPr>
      </w:pPr>
      <w:r>
        <w:rPr>
          <w:rFonts w:eastAsia="方正仿宋简体"/>
          <w:sz w:val="30"/>
          <w:szCs w:val="30"/>
        </w:rPr>
        <w:t>铝期货实行完税交割、保税交割。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铝期货交割品级详见《上海期货交易所铝期货合约》。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铝期货交割商品应当是交易所注册的生产企业生产的注册商标的商品。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商品的包装：每一交割单位的铝锭应当是同一生产企业生产、同一注册商标、同一质量品级、同一块形、同一包装数量（捆重近似）的商品组成。注册生产企业自行选定注册产品捆重，但要利于组手。每捆包装采用30-32*0.9-1.0mm 表面作防锈处理的钢带井字形捆扎，捆扎应当坚固，同时标有醒目的、不易脱落的产品商品标志、生产炉批编号及捆重。每捆重量不超过2吨。</w:t>
      </w:r>
    </w:p>
    <w:p>
      <w:pPr>
        <w:spacing w:line="560" w:lineRule="exact"/>
        <w:ind w:firstLine="600" w:firstLineChars="200"/>
        <w:rPr>
          <w:rFonts w:eastAsia="方正仿宋简体"/>
          <w:sz w:val="30"/>
          <w:szCs w:val="30"/>
        </w:rPr>
      </w:pPr>
      <w:r>
        <w:rPr>
          <w:rFonts w:eastAsia="方正仿宋简体"/>
          <w:sz w:val="30"/>
          <w:szCs w:val="30"/>
        </w:rPr>
        <w:t>（二）到库商品中，遇有包装钢带断</w:t>
      </w:r>
      <w:bookmarkStart w:id="0" w:name="_GoBack"/>
      <w:bookmarkEnd w:id="0"/>
      <w:r>
        <w:rPr>
          <w:rFonts w:eastAsia="方正仿宋简体"/>
          <w:sz w:val="30"/>
          <w:szCs w:val="30"/>
        </w:rPr>
        <w:t>裂或严重锈蚀的捆件及散块商品，应当重新组合，用规定的钢带捆扎紧固，方可用于交割。包装费用由货主承担。</w:t>
      </w:r>
    </w:p>
    <w:p>
      <w:pPr>
        <w:autoSpaceDE w:val="0"/>
        <w:autoSpaceDN w:val="0"/>
        <w:adjustRightInd w:val="0"/>
        <w:spacing w:line="560" w:lineRule="exact"/>
        <w:ind w:firstLine="600" w:firstLineChars="200"/>
        <w:rPr>
          <w:rFonts w:eastAsia="方正仿宋简体"/>
          <w:b/>
          <w:sz w:val="30"/>
          <w:szCs w:val="30"/>
        </w:rPr>
      </w:pPr>
      <w:r>
        <w:rPr>
          <w:rFonts w:eastAsia="方正仿宋简体"/>
          <w:sz w:val="30"/>
          <w:szCs w:val="30"/>
        </w:rPr>
        <w:t>（三）国产铝每锭重量为15KG±2KG、20KG±2KG或25KG±2KG。进口铝的形状应当为锭，每锭重量在12KG到26KG之间。</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b/>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溢短和磅差：每张标准仓单所列铝锭的重量为25 吨，溢短不超过±2%，磅差不超过±0.1%。</w:t>
      </w:r>
    </w:p>
    <w:p>
      <w:pPr>
        <w:spacing w:line="560" w:lineRule="exact"/>
        <w:ind w:firstLine="602" w:firstLineChars="200"/>
        <w:rPr>
          <w:rFonts w:eastAsia="方正仿宋简体"/>
          <w:b/>
          <w:color w:val="000000"/>
          <w:sz w:val="30"/>
          <w:szCs w:val="30"/>
        </w:rPr>
      </w:pPr>
      <w:r>
        <w:rPr>
          <w:rFonts w:eastAsia="方正仿宋简体"/>
          <w:b/>
          <w:color w:val="000000"/>
          <w:sz w:val="30"/>
          <w:szCs w:val="30"/>
        </w:rPr>
        <w:t xml:space="preserve">第十九条 </w:t>
      </w:r>
      <w:r>
        <w:rPr>
          <w:rFonts w:eastAsia="方正仿宋简体"/>
          <w:color w:val="000000"/>
          <w:sz w:val="30"/>
          <w:szCs w:val="30"/>
        </w:rPr>
        <w:t>铝期货合约的交割单位为25吨。</w:t>
      </w:r>
    </w:p>
    <w:p>
      <w:pPr>
        <w:spacing w:line="560" w:lineRule="exact"/>
        <w:ind w:firstLine="602" w:firstLineChars="200"/>
        <w:rPr>
          <w:rFonts w:eastAsia="方正仿宋简体"/>
          <w:b/>
          <w:color w:val="000000"/>
          <w:sz w:val="30"/>
          <w:szCs w:val="30"/>
        </w:rPr>
      </w:pPr>
      <w:r>
        <w:rPr>
          <w:rFonts w:eastAsia="方正仿宋简体"/>
          <w:b/>
          <w:color w:val="000000"/>
          <w:sz w:val="30"/>
          <w:szCs w:val="30"/>
        </w:rPr>
        <w:t xml:space="preserve">第二十条 </w:t>
      </w:r>
      <w:r>
        <w:rPr>
          <w:rFonts w:eastAsia="方正仿宋简体"/>
          <w:color w:val="000000"/>
          <w:sz w:val="30"/>
          <w:szCs w:val="30"/>
        </w:rPr>
        <w:t>铝期货合约的交割日期为最后交易日后连续二个工作日。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 xml:space="preserve">第二十一条 </w:t>
      </w:r>
      <w:r>
        <w:rPr>
          <w:rFonts w:eastAsia="方正仿宋简体"/>
          <w:sz w:val="30"/>
          <w:szCs w:val="30"/>
        </w:rPr>
        <w:t>铝期货合约交割结算的基准价为该期货合约最后交易日的结算价。</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第二十二条</w:t>
      </w:r>
      <w:r>
        <w:rPr>
          <w:rFonts w:eastAsia="方正仿宋简体"/>
          <w:color w:val="000000"/>
          <w:kern w:val="0"/>
          <w:sz w:val="30"/>
          <w:szCs w:val="30"/>
        </w:rPr>
        <w:t xml:space="preserve"> 保税标准仓单的交割结算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买方到期交割取得保税标准仓单，以当月该合约的保税交割结算价进行货款结算。当月到期合约的保税交割结算价为含税交割结算价扣除相关税费，含税交割结算价为铝期货合约最后交易日后按照现有规则产生的含税的交割结算价。保税标准仓单的交割货款根据交割数量和保税交割结算价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保税交割结算价＝［（含税交割结算价－相关费用）/（1＋进口增值税税率）－消费税］/（1＋进口关税税率）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保税交割货款＝（保税交割结算价＋保税升贴水）×保税交割数量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（二）期转现保税交割结算价的计算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期转现保税交割结算价</w:t>
      </w:r>
      <w:r>
        <w:rPr>
          <w:rFonts w:hint="eastAsia" w:eastAsia="方正仿宋简体"/>
          <w:color w:val="000000"/>
          <w:kern w:val="0"/>
          <w:sz w:val="30"/>
          <w:szCs w:val="30"/>
        </w:rPr>
        <w:t>=</w:t>
      </w:r>
      <w:r>
        <w:rPr>
          <w:rFonts w:eastAsia="方正仿宋简体"/>
          <w:color w:val="000000"/>
          <w:kern w:val="0"/>
          <w:sz w:val="30"/>
          <w:szCs w:val="30"/>
        </w:rPr>
        <w:t>［（期转现申请日前一交易日交割月份合约的结算价－相关费用）/（1＋进口增值税税率）－消费税］/（1＋进口关税税率）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期转现保税交割货款＝（期转现保税交割结算价＋保税升贴水）×保税交割数量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（三）以上公式中升贴水为考虑交割品级、品质和仓库地区分布等因素对交割结算价的调整。公式中升贴水及相关费用由交易所另行发文通知。</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遇国家税收政策调整的，交易所可对保税交割结算价的计算公式进行调整，并适时予以公布。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第二十三条</w:t>
      </w:r>
      <w:r>
        <w:rPr>
          <w:rFonts w:eastAsia="方正仿宋简体"/>
          <w:color w:val="000000"/>
          <w:kern w:val="0"/>
          <w:sz w:val="30"/>
          <w:szCs w:val="30"/>
        </w:rPr>
        <w:t xml:space="preserve"> 对实行保税交割的铝期货品种，交易所在每个合约到期后，同时公布当月合约含税交割结算价和保税交割结算价。</w:t>
      </w:r>
    </w:p>
    <w:p>
      <w:pPr>
        <w:autoSpaceDE w:val="0"/>
        <w:autoSpaceDN w:val="0"/>
        <w:adjustRightInd w:val="0"/>
        <w:spacing w:line="560" w:lineRule="exact"/>
        <w:ind w:firstLine="602" w:firstLineChars="200"/>
        <w:rPr>
          <w:rFonts w:eastAsia="方正仿宋简体"/>
          <w:color w:val="000000"/>
          <w:kern w:val="0"/>
          <w:sz w:val="30"/>
          <w:szCs w:val="30"/>
        </w:rPr>
      </w:pPr>
      <w:r>
        <w:rPr>
          <w:rFonts w:eastAsia="方正仿宋简体"/>
          <w:b/>
          <w:color w:val="000000"/>
          <w:kern w:val="0"/>
          <w:sz w:val="30"/>
          <w:szCs w:val="30"/>
        </w:rPr>
        <w:t xml:space="preserve">第二十四条 </w:t>
      </w:r>
      <w:r>
        <w:rPr>
          <w:rFonts w:eastAsia="方正仿宋简体"/>
          <w:color w:val="000000"/>
          <w:kern w:val="0"/>
          <w:sz w:val="30"/>
          <w:szCs w:val="30"/>
        </w:rPr>
        <w:t>交割地点：交易所交割仓库，由交易所另行公告。</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sz w:val="30"/>
          <w:szCs w:val="30"/>
        </w:rPr>
      </w:pPr>
      <w:r>
        <w:rPr>
          <w:rFonts w:eastAsia="方正仿宋简体"/>
          <w:b/>
          <w:color w:val="000000"/>
          <w:kern w:val="0"/>
          <w:sz w:val="30"/>
          <w:szCs w:val="30"/>
        </w:rPr>
        <w:t xml:space="preserve">第二十六条 </w:t>
      </w:r>
      <w:r>
        <w:rPr>
          <w:rFonts w:eastAsia="方正仿宋简体"/>
          <w:color w:val="000000"/>
          <w:kern w:val="0"/>
          <w:sz w:val="30"/>
          <w:szCs w:val="30"/>
        </w:rPr>
        <w:t>期转现使用标准仓单并通过交易所结算发生铝交割实物质量纠纷的，买方应当在货款和标准仓单交换日后的25天内提出质量异议申请，并应当同时提供交易所指定检验机构出具的质量鉴定结论。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铝期货合约的最低交易保证金为合约价值的5%。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 xml:space="preserve">第二十八条 </w:t>
      </w:r>
      <w:r>
        <w:rPr>
          <w:rFonts w:eastAsia="方正仿宋简体"/>
          <w:sz w:val="30"/>
          <w:szCs w:val="30"/>
        </w:rPr>
        <w:t>铝期货合约上市运行不同阶段的交易保证金收取标准为：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铝交易保证金比例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铝期货合约涨跌停板幅度为上一交易日结算价±3%。</w:t>
      </w:r>
    </w:p>
    <w:p>
      <w:pPr>
        <w:spacing w:line="560" w:lineRule="exact"/>
        <w:ind w:firstLine="602" w:firstLineChars="200"/>
        <w:rPr>
          <w:rFonts w:eastAsia="方正仿宋简体"/>
          <w:bCs/>
          <w:color w:val="000000"/>
          <w:sz w:val="30"/>
          <w:szCs w:val="30"/>
        </w:rPr>
      </w:pPr>
      <w:r>
        <w:rPr>
          <w:rFonts w:eastAsia="方正仿宋简体"/>
          <w:b/>
          <w:sz w:val="30"/>
          <w:szCs w:val="30"/>
        </w:rPr>
        <w:t xml:space="preserve">第三十条 </w:t>
      </w:r>
      <w:r>
        <w:rPr>
          <w:rFonts w:eastAsia="方正仿宋简体"/>
          <w:sz w:val="30"/>
          <w:szCs w:val="30"/>
        </w:rPr>
        <w:t>铝期货合约在不同时期的限仓比例和限仓数额具体规定如下：</w:t>
      </w:r>
    </w:p>
    <w:p>
      <w:pPr>
        <w:spacing w:line="560" w:lineRule="exact"/>
        <w:jc w:val="left"/>
        <w:rPr>
          <w:rFonts w:eastAsia="方正仿宋简体"/>
          <w:bCs/>
          <w:color w:val="000000"/>
          <w:sz w:val="30"/>
          <w:szCs w:val="30"/>
        </w:rPr>
      </w:pPr>
      <w:r>
        <w:rPr>
          <w:rFonts w:eastAsia="方正仿宋简体"/>
          <w:bCs/>
          <w:color w:val="000000"/>
          <w:sz w:val="30"/>
          <w:szCs w:val="30"/>
        </w:rPr>
        <w:t>（单位：手）</w:t>
      </w:r>
    </w:p>
    <w:tbl>
      <w:tblPr>
        <w:tblStyle w:val="4"/>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101"/>
        <w:gridCol w:w="875"/>
        <w:gridCol w:w="963"/>
        <w:gridCol w:w="1012"/>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spacing w:line="560" w:lineRule="exact"/>
              <w:jc w:val="center"/>
              <w:rPr>
                <w:rFonts w:eastAsia="方正仿宋简体"/>
                <w:bCs/>
                <w:color w:val="000000"/>
                <w:sz w:val="24"/>
              </w:rPr>
            </w:pPr>
          </w:p>
        </w:tc>
        <w:tc>
          <w:tcPr>
            <w:tcW w:w="2273" w:type="pct"/>
            <w:gridSpan w:val="3"/>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w:t>
            </w:r>
          </w:p>
          <w:p>
            <w:pPr>
              <w:spacing w:line="560" w:lineRule="exact"/>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交割月前</w:t>
            </w:r>
          </w:p>
          <w:p>
            <w:pPr>
              <w:spacing w:line="560" w:lineRule="exact"/>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某一期</w:t>
            </w:r>
          </w:p>
          <w:p>
            <w:pPr>
              <w:spacing w:line="560" w:lineRule="exact"/>
              <w:jc w:val="center"/>
              <w:rPr>
                <w:rFonts w:eastAsia="方正仿宋简体"/>
                <w:bCs/>
                <w:color w:val="000000"/>
                <w:sz w:val="24"/>
              </w:rPr>
            </w:pPr>
            <w:r>
              <w:rPr>
                <w:rFonts w:eastAsia="方正仿宋简体"/>
                <w:bCs/>
                <w:color w:val="000000"/>
                <w:sz w:val="24"/>
              </w:rPr>
              <w:t>货合约</w:t>
            </w:r>
          </w:p>
          <w:p>
            <w:pPr>
              <w:spacing w:line="560" w:lineRule="exact"/>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spacing w:line="560" w:lineRule="exact"/>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099" w:type="pct"/>
            <w:gridSpan w:val="2"/>
            <w:tcBorders>
              <w:left w:val="single" w:color="auto" w:sz="4" w:space="0"/>
            </w:tcBorders>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spacing w:line="560" w:lineRule="exact"/>
              <w:jc w:val="center"/>
              <w:rPr>
                <w:rFonts w:eastAsia="方正仿宋简体"/>
                <w:bCs/>
                <w:color w:val="000000"/>
                <w:sz w:val="24"/>
              </w:rPr>
            </w:pP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657"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52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非期货公司</w:t>
            </w:r>
          </w:p>
          <w:p>
            <w:pPr>
              <w:spacing w:line="560" w:lineRule="exact"/>
              <w:jc w:val="center"/>
              <w:rPr>
                <w:rFonts w:eastAsia="方正仿宋简体"/>
                <w:bCs/>
                <w:color w:val="000000"/>
                <w:sz w:val="24"/>
              </w:rPr>
            </w:pPr>
            <w:r>
              <w:rPr>
                <w:rFonts w:eastAsia="方正仿宋简体"/>
                <w:bCs/>
                <w:color w:val="000000"/>
                <w:sz w:val="24"/>
              </w:rPr>
              <w:t>会员</w:t>
            </w:r>
          </w:p>
        </w:tc>
        <w:tc>
          <w:tcPr>
            <w:tcW w:w="576"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429"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铝</w:t>
            </w: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10万手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657" w:type="pct"/>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color="auto" w:sz="4" w:space="0"/>
            </w:tcBorders>
            <w:vAlign w:val="center"/>
          </w:tcPr>
          <w:p>
            <w:pPr>
              <w:spacing w:line="560" w:lineRule="exact"/>
              <w:ind w:firstLine="120" w:firstLineChars="50"/>
              <w:rPr>
                <w:rFonts w:eastAsia="方正仿宋简体"/>
                <w:bCs/>
                <w:color w:val="000000"/>
                <w:sz w:val="24"/>
              </w:rPr>
            </w:pPr>
            <w:r>
              <w:rPr>
                <w:rFonts w:eastAsia="方正仿宋简体"/>
                <w:bCs/>
                <w:color w:val="000000"/>
                <w:sz w:val="24"/>
              </w:rPr>
              <w:t>3000</w:t>
            </w:r>
          </w:p>
        </w:tc>
        <w:tc>
          <w:tcPr>
            <w:tcW w:w="576"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3000</w:t>
            </w:r>
          </w:p>
        </w:tc>
        <w:tc>
          <w:tcPr>
            <w:tcW w:w="605" w:type="pct"/>
            <w:vMerge w:val="restar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1000</w:t>
            </w:r>
          </w:p>
        </w:tc>
        <w:tc>
          <w:tcPr>
            <w:tcW w:w="429"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spacing w:line="560" w:lineRule="exact"/>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10000</w:t>
            </w:r>
          </w:p>
        </w:tc>
        <w:tc>
          <w:tcPr>
            <w:tcW w:w="657" w:type="pct"/>
            <w:vAlign w:val="center"/>
          </w:tcPr>
          <w:p>
            <w:pPr>
              <w:spacing w:line="560" w:lineRule="exact"/>
              <w:jc w:val="center"/>
              <w:rPr>
                <w:rFonts w:eastAsia="方正仿宋简体"/>
                <w:bCs/>
                <w:color w:val="000000"/>
                <w:sz w:val="24"/>
              </w:rPr>
            </w:pPr>
            <w:r>
              <w:rPr>
                <w:rFonts w:eastAsia="方正仿宋简体"/>
                <w:bCs/>
                <w:color w:val="000000"/>
                <w:sz w:val="24"/>
              </w:rPr>
              <w:t>10000</w:t>
            </w:r>
          </w:p>
        </w:tc>
        <w:tc>
          <w:tcPr>
            <w:tcW w:w="523"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576" w:type="pct"/>
            <w:vMerge w:val="continue"/>
            <w:vAlign w:val="center"/>
          </w:tcPr>
          <w:p>
            <w:pPr>
              <w:spacing w:line="560" w:lineRule="exact"/>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429" w:type="pct"/>
            <w:vMerge w:val="continue"/>
            <w:vAlign w:val="center"/>
          </w:tcPr>
          <w:p>
            <w:pPr>
              <w:spacing w:line="560" w:lineRule="exact"/>
              <w:jc w:val="center"/>
              <w:rPr>
                <w:rFonts w:eastAsia="方正仿宋简体"/>
                <w:bCs/>
                <w:dstrike/>
                <w:color w:val="000000"/>
                <w:sz w:val="24"/>
                <w:shd w:val="pct10" w:color="auto" w:fill="FFFFFF"/>
              </w:rPr>
            </w:pPr>
          </w:p>
        </w:tc>
      </w:tr>
    </w:tbl>
    <w:p>
      <w:pPr>
        <w:spacing w:line="560" w:lineRule="exact"/>
        <w:ind w:firstLine="600" w:firstLineChars="200"/>
        <w:rPr>
          <w:rFonts w:eastAsia="方正仿宋简体"/>
          <w:bCs/>
          <w:color w:val="000000"/>
          <w:sz w:val="30"/>
          <w:szCs w:val="30"/>
        </w:rPr>
      </w:pPr>
      <w:r>
        <w:rPr>
          <w:rFonts w:eastAsia="方正仿宋简体"/>
          <w:bCs/>
          <w:color w:val="000000"/>
          <w:sz w:val="30"/>
          <w:szCs w:val="30"/>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铝期货合约的</w:t>
      </w:r>
      <w:r>
        <w:rPr>
          <w:rFonts w:hint="eastAsia" w:eastAsia="方正仿宋简体"/>
          <w:sz w:val="30"/>
          <w:szCs w:val="30"/>
        </w:rPr>
        <w:t>一般</w:t>
      </w:r>
      <w:r>
        <w:rPr>
          <w:rFonts w:eastAsia="方正仿宋简体"/>
          <w:sz w:val="30"/>
          <w:szCs w:val="30"/>
        </w:rPr>
        <w:t>持仓应当调整为5手的整倍数（遇市场特殊情况无法按期调整的，可以顺延一天）</w:t>
      </w:r>
      <w:r>
        <w:rPr>
          <w:rFonts w:hint="eastAsia" w:eastAsia="方正仿宋简体"/>
          <w:sz w:val="30"/>
          <w:szCs w:val="30"/>
        </w:rPr>
        <w:t>；</w:t>
      </w:r>
      <w:r>
        <w:rPr>
          <w:rFonts w:eastAsia="方正仿宋简体"/>
          <w:sz w:val="30"/>
          <w:szCs w:val="30"/>
        </w:rPr>
        <w:t>进入交割月后，铝期货合约</w:t>
      </w:r>
      <w:r>
        <w:rPr>
          <w:rFonts w:hint="eastAsia" w:eastAsia="方正仿宋简体"/>
          <w:sz w:val="30"/>
          <w:szCs w:val="30"/>
        </w:rPr>
        <w:t>一般</w:t>
      </w:r>
      <w:r>
        <w:rPr>
          <w:rFonts w:eastAsia="方正仿宋简体"/>
          <w:sz w:val="30"/>
          <w:szCs w:val="30"/>
        </w:rPr>
        <w:t>持仓应当是5手的整倍数，新开仓、平仓也应当是5手的整倍数。</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交易所对某一铝期货合约采取强制减仓的，其申报平仓数量、</w:t>
      </w:r>
      <w:r>
        <w:rPr>
          <w:rFonts w:eastAsia="方正仿宋简体"/>
          <w:color w:val="000000"/>
          <w:sz w:val="30"/>
          <w:szCs w:val="30"/>
        </w:rPr>
        <w:t>持仓盈</w:t>
      </w:r>
      <w:r>
        <w:rPr>
          <w:rFonts w:eastAsia="方正仿宋简体"/>
          <w:sz w:val="30"/>
          <w:szCs w:val="30"/>
        </w:rPr>
        <w:t>利</w:t>
      </w:r>
      <w:r>
        <w:rPr>
          <w:rFonts w:hint="eastAsia" w:eastAsia="方正仿宋简体"/>
          <w:sz w:val="30"/>
          <w:szCs w:val="30"/>
        </w:rPr>
        <w:t>交易者</w:t>
      </w:r>
      <w:r>
        <w:rPr>
          <w:rFonts w:eastAsia="方正仿宋简体"/>
          <w:sz w:val="30"/>
          <w:szCs w:val="30"/>
        </w:rPr>
        <w:t>平</w:t>
      </w:r>
      <w:r>
        <w:rPr>
          <w:rFonts w:eastAsia="方正仿宋简体"/>
          <w:color w:val="000000"/>
          <w:sz w:val="30"/>
          <w:szCs w:val="30"/>
        </w:rPr>
        <w:t>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w:t>
      </w:r>
      <w:r>
        <w:rPr>
          <w:rFonts w:eastAsia="方正仿宋简体"/>
          <w:color w:val="000000"/>
          <w:sz w:val="30"/>
          <w:szCs w:val="30"/>
        </w:rPr>
        <w:t>成交的，且</w:t>
      </w:r>
      <w:r>
        <w:rPr>
          <w:rFonts w:hint="eastAsia" w:eastAsia="方正仿宋简体"/>
          <w:color w:val="000000"/>
          <w:sz w:val="30"/>
          <w:szCs w:val="30"/>
        </w:rPr>
        <w:t>交易者</w:t>
      </w:r>
      <w:r>
        <w:rPr>
          <w:rFonts w:eastAsia="方正仿宋简体"/>
          <w:color w:val="000000"/>
          <w:sz w:val="30"/>
          <w:szCs w:val="30"/>
        </w:rPr>
        <w:t>该铝期货合约的单位净持仓亏损大于或者等于强制减仓基准日结算价6%的所有申报平仓数量的总和为平仓数量。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单位净持仓盈利大于或者等于强制减仓基准日结算价6%的套期保值交易持仓都列入平仓范围。</w:t>
      </w:r>
    </w:p>
    <w:p>
      <w:pPr>
        <w:autoSpaceDE w:val="0"/>
        <w:autoSpaceDN w:val="0"/>
        <w:adjustRightInd w:val="0"/>
        <w:spacing w:line="560" w:lineRule="exact"/>
        <w:ind w:firstLine="600" w:firstLineChars="200"/>
        <w:jc w:val="left"/>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autoSpaceDE w:val="0"/>
        <w:autoSpaceDN w:val="0"/>
        <w:adjustRightInd w:val="0"/>
        <w:spacing w:line="560" w:lineRule="exact"/>
        <w:ind w:firstLine="600" w:firstLineChars="200"/>
        <w:jc w:val="left"/>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第三十六条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CEDCB"/>
    <w:rsid w:val="6EE9AB3C"/>
    <w:rsid w:val="FFACE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2025-12-30T23:27:00Z</dcterms:created>
  <dc:creator>ji.shuoren</dc:creator>
  <cp:lastModifiedBy>ji.shuoren</cp:lastModifiedBy>
  <dcterms:modified xsi:type="dcterms:W3CDTF">2025-12-31T09:44:38Z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4C77D867AF40DD38FA7E5369282514BC</vt:lpwstr>
  </property>
</Properties>
</file>