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上海期货交易所阴极铜期货业务细则</w:t>
      </w:r>
    </w:p>
    <w:p>
      <w:pPr>
        <w:spacing w:line="560" w:lineRule="exact"/>
        <w:jc w:val="center"/>
        <w:rPr>
          <w:rFonts w:eastAsia="楷体"/>
          <w:bCs/>
          <w:sz w:val="28"/>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为了规范上海期货交易所（以下简称交易所）阴极铜（以下简称铜）期货相关业务，根据《上海期货交易所交易规则》《上海期货交易所阴极铜期货合约》以及相关业务规则，制定本细则。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铜期货合约的交易单位为5吨/手。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铜期货合约的报价单位为元（人民币）/吨。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铜期货合约的最小变动价位为10元/吨。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铜期货合约月份为1～12月。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铜期货合约的交易时间为上午9:00～11:30 ，下午1:30～3:00和交易所规定的其他交易时间。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铜期货合约的最后交易日为合约月份的15日，遇国家法定节假日顺延，春节月份等最后交易日交易所可另行调整并通知。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铜期货合约的交易代码为CU。</w:t>
      </w:r>
      <w:bookmarkStart w:id="3" w:name="_GoBack"/>
      <w:bookmarkEnd w:id="3"/>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铜期货套期保值交易持仓额度和套利交易持仓额度，所涉的一般月份是指合约挂牌至交割月前第二月的最后一个交易日，所涉的临近交割月份是指交割月前第一月和交割月份。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eastAsia="方正仿宋简体"/>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sz w:val="30"/>
          <w:szCs w:val="30"/>
        </w:rPr>
        <w:t>按合约方式申请铜</w:t>
      </w:r>
      <w:r>
        <w:rPr>
          <w:rFonts w:eastAsia="方正仿宋简体"/>
          <w:sz w:val="30"/>
          <w:szCs w:val="30"/>
        </w:rPr>
        <w:t>期货一般月份套期保值交易</w:t>
      </w:r>
      <w:r>
        <w:rPr>
          <w:rFonts w:hint="eastAsia" w:eastAsia="方正仿宋简体"/>
          <w:sz w:val="30"/>
          <w:szCs w:val="30"/>
        </w:rPr>
        <w:t>持仓额度</w:t>
      </w:r>
      <w:r>
        <w:rPr>
          <w:rFonts w:eastAsia="方正仿宋简体"/>
          <w:sz w:val="30"/>
          <w:szCs w:val="30"/>
        </w:rPr>
        <w:t>的</w:t>
      </w:r>
      <w:r>
        <w:rPr>
          <w:rFonts w:hint="eastAsia" w:eastAsia="方正仿宋简体"/>
          <w:sz w:val="30"/>
          <w:szCs w:val="30"/>
        </w:rPr>
        <w:t>，</w:t>
      </w:r>
      <w:r>
        <w:rPr>
          <w:rFonts w:eastAsia="方正仿宋简体"/>
          <w:sz w:val="30"/>
          <w:szCs w:val="30"/>
        </w:rPr>
        <w:t>应当在该套期保值所涉合约交割月前第二月的最后一个交易日之前提出，逾期交易所不再受理。</w:t>
      </w:r>
      <w:r>
        <w:rPr>
          <w:rFonts w:hint="eastAsia" w:eastAsia="方正仿宋简体"/>
          <w:sz w:val="30"/>
          <w:szCs w:val="30"/>
        </w:rPr>
        <w:t>按品种方式申请一般月份套期保值交易持仓额度的，按照《上海期货交易所套期保值交易管理办法》相关</w:t>
      </w:r>
      <w:r>
        <w:rPr>
          <w:rFonts w:eastAsia="方正仿宋简体"/>
          <w:sz w:val="30"/>
          <w:szCs w:val="30"/>
        </w:rPr>
        <w:t>规定</w:t>
      </w:r>
      <w:r>
        <w:rPr>
          <w:rFonts w:hint="eastAsia" w:eastAsia="方正仿宋简体"/>
          <w:sz w:val="30"/>
          <w:szCs w:val="30"/>
        </w:rPr>
        <w:t>执行。</w:t>
      </w:r>
    </w:p>
    <w:p>
      <w:pPr>
        <w:spacing w:line="560" w:lineRule="exact"/>
        <w:ind w:firstLine="600" w:firstLineChars="200"/>
        <w:rPr>
          <w:rFonts w:eastAsia="方正仿宋简体"/>
          <w:sz w:val="30"/>
          <w:szCs w:val="30"/>
        </w:rPr>
      </w:pPr>
      <w:r>
        <w:rPr>
          <w:rFonts w:hint="eastAsia" w:eastAsia="方正仿宋简体"/>
          <w:sz w:val="30"/>
          <w:szCs w:val="30"/>
        </w:rPr>
        <w:t>铜</w:t>
      </w:r>
      <w:r>
        <w:rPr>
          <w:rFonts w:eastAsia="方正仿宋简体"/>
          <w:sz w:val="30"/>
          <w:szCs w:val="30"/>
        </w:rPr>
        <w:t>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sz w:val="30"/>
          <w:szCs w:val="30"/>
        </w:rPr>
        <w:t>二</w:t>
      </w:r>
      <w:r>
        <w:rPr>
          <w:rFonts w:eastAsia="方正仿宋简体"/>
          <w:sz w:val="30"/>
          <w:szCs w:val="30"/>
        </w:rPr>
        <w:t>月的第一个交易日至交割月前第一月的最后一个交易日之间提出，逾期交易所不再受理；</w:t>
      </w:r>
      <w:r>
        <w:rPr>
          <w:rFonts w:hint="eastAsia" w:eastAsia="方正仿宋简体"/>
          <w:sz w:val="30"/>
          <w:szCs w:val="30"/>
        </w:rPr>
        <w:t>铜</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铜</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铜期货适用期货转现货、仓库交割。</w:t>
      </w:r>
    </w:p>
    <w:p>
      <w:pPr>
        <w:spacing w:line="560" w:lineRule="exact"/>
        <w:ind w:firstLine="600" w:firstLineChars="200"/>
        <w:rPr>
          <w:rFonts w:eastAsia="方正仿宋简体"/>
          <w:sz w:val="30"/>
          <w:szCs w:val="30"/>
        </w:rPr>
      </w:pPr>
      <w:r>
        <w:rPr>
          <w:rFonts w:eastAsia="方正仿宋简体"/>
          <w:sz w:val="30"/>
          <w:szCs w:val="30"/>
        </w:rPr>
        <w:t>铜期货实行完税交割、保税交割。</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sz w:val="30"/>
          <w:szCs w:val="30"/>
        </w:rPr>
        <w:t xml:space="preserve"> 铜期货交割品级详见《上海期货交易所阴极铜期货合约》。</w:t>
      </w:r>
    </w:p>
    <w:p>
      <w:pPr>
        <w:spacing w:line="560" w:lineRule="exact"/>
        <w:ind w:firstLine="602" w:firstLineChars="200"/>
        <w:rPr>
          <w:rFonts w:eastAsia="方正仿宋简体"/>
          <w:sz w:val="30"/>
          <w:szCs w:val="30"/>
        </w:rPr>
      </w:pPr>
      <w:r>
        <w:rPr>
          <w:rFonts w:eastAsia="方正仿宋简体"/>
          <w:b/>
          <w:sz w:val="30"/>
          <w:szCs w:val="30"/>
        </w:rPr>
        <w:t>第十五条</w:t>
      </w:r>
      <w:r>
        <w:rPr>
          <w:rFonts w:eastAsia="方正仿宋简体"/>
          <w:sz w:val="30"/>
          <w:szCs w:val="30"/>
        </w:rPr>
        <w:t xml:space="preserve"> 铜期货交割商品应当是交易所注册的生产企业生产的注册商标的商品。</w:t>
      </w:r>
    </w:p>
    <w:p>
      <w:pPr>
        <w:spacing w:line="56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交割商品的包装 </w:t>
      </w:r>
    </w:p>
    <w:p>
      <w:pPr>
        <w:spacing w:line="560" w:lineRule="exact"/>
        <w:ind w:firstLine="600" w:firstLineChars="200"/>
        <w:rPr>
          <w:rFonts w:eastAsia="方正仿宋简体"/>
          <w:sz w:val="30"/>
          <w:szCs w:val="30"/>
        </w:rPr>
      </w:pPr>
      <w:r>
        <w:rPr>
          <w:rFonts w:eastAsia="方正仿宋简体"/>
          <w:sz w:val="30"/>
          <w:szCs w:val="30"/>
        </w:rPr>
        <w:t>（一）商品的包装：每一交割单位阴极铜应当是同一生产企业生产、同一注册商标、同一质量品级、同一块形、捆重近似的商品组成。注册生产企业自行选定注册产品捆重，但要利于组手，每捆包装采用表面作防锈处理的钢带井字形捆扎（或者坚固程度相当的钢带捆扎方式），捆扎应当坚固，同时标有醒目的、不易脱落的商品标志及捆重。每捆重量不超过4吨。</w:t>
      </w:r>
    </w:p>
    <w:p>
      <w:pPr>
        <w:spacing w:line="560" w:lineRule="exact"/>
        <w:ind w:firstLine="600" w:firstLineChars="200"/>
        <w:rPr>
          <w:rFonts w:eastAsia="方正仿宋简体"/>
          <w:b/>
          <w:sz w:val="30"/>
          <w:szCs w:val="30"/>
        </w:rPr>
      </w:pPr>
      <w:r>
        <w:rPr>
          <w:rFonts w:eastAsia="方正仿宋简体"/>
          <w:sz w:val="30"/>
          <w:szCs w:val="30"/>
        </w:rPr>
        <w:t>（二）到库商品中，有包装钢带断裂或者严重锈蚀的捆件及散块商品的，应当重新组合，用规定的钢带捆扎紧固后，方可用于交割。包装费用由货主承担。</w:t>
      </w:r>
    </w:p>
    <w:p>
      <w:pPr>
        <w:spacing w:line="560" w:lineRule="exact"/>
        <w:ind w:firstLine="602" w:firstLineChars="200"/>
        <w:rPr>
          <w:rFonts w:eastAsia="方正仿宋简体"/>
          <w:sz w:val="30"/>
          <w:szCs w:val="30"/>
        </w:rPr>
      </w:pPr>
      <w:bookmarkStart w:id="0" w:name="OLE_LINK442"/>
      <w:bookmarkStart w:id="1" w:name="OLE_LINK438"/>
      <w:r>
        <w:rPr>
          <w:rFonts w:eastAsia="方正仿宋简体"/>
          <w:b/>
          <w:sz w:val="30"/>
          <w:szCs w:val="30"/>
        </w:rPr>
        <w:t>第十七条</w:t>
      </w:r>
      <w:bookmarkEnd w:id="0"/>
      <w:bookmarkEnd w:id="1"/>
      <w:r>
        <w:rPr>
          <w:rFonts w:eastAsia="方正仿宋简体"/>
          <w:b/>
          <w:sz w:val="30"/>
          <w:szCs w:val="30"/>
        </w:rPr>
        <w:t xml:space="preserve">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r>
        <w:rPr>
          <w:rFonts w:hint="eastAsia" w:eastAsia="方正仿宋简体"/>
          <w:sz w:val="30"/>
          <w:szCs w:val="30"/>
        </w:rPr>
        <w:t>。</w:t>
      </w:r>
    </w:p>
    <w:p>
      <w:pPr>
        <w:spacing w:line="560" w:lineRule="exact"/>
        <w:ind w:firstLine="600" w:firstLineChars="200"/>
        <w:rPr>
          <w:rFonts w:eastAsia="方正仿宋简体"/>
          <w:b/>
          <w:sz w:val="30"/>
          <w:szCs w:val="30"/>
        </w:rPr>
      </w:pPr>
      <w:r>
        <w:rPr>
          <w:rFonts w:eastAsia="方正仿宋简体"/>
          <w:sz w:val="30"/>
          <w:szCs w:val="30"/>
        </w:rPr>
        <w:t>国家税收、商检等政策调整的，应当遵守其规定，相关进口商品的单证要求由交易所另行发布。</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溢短和磅差：每张标准仓单所列阴极铜的重量为25吨，溢短不超过±2%，磅差不超过±0.1%</w:t>
      </w:r>
      <w:r>
        <w:rPr>
          <w:rFonts w:hint="eastAsia" w:eastAsia="方正仿宋简体"/>
          <w:sz w:val="30"/>
          <w:szCs w:val="30"/>
        </w:rPr>
        <w:t>。</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铜期货合约的交割单位为25吨。</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铜期货合约的交割日期为最后交易日后连续二个工作日。</w:t>
      </w:r>
    </w:p>
    <w:p>
      <w:pPr>
        <w:autoSpaceDE w:val="0"/>
        <w:autoSpaceDN w:val="0"/>
        <w:adjustRightInd w:val="0"/>
        <w:spacing w:line="560" w:lineRule="exact"/>
        <w:ind w:firstLine="602" w:firstLineChars="200"/>
        <w:rPr>
          <w:rFonts w:eastAsia="方正仿宋简体"/>
          <w:b/>
          <w:sz w:val="30"/>
          <w:szCs w:val="30"/>
        </w:rPr>
      </w:pPr>
      <w:r>
        <w:rPr>
          <w:rFonts w:eastAsia="方正仿宋简体"/>
          <w:b/>
          <w:sz w:val="30"/>
          <w:szCs w:val="30"/>
        </w:rPr>
        <w:t>第二十一条</w:t>
      </w:r>
      <w:r>
        <w:rPr>
          <w:rFonts w:hint="eastAsia" w:eastAsia="方正仿宋简体"/>
          <w:b/>
          <w:sz w:val="30"/>
          <w:szCs w:val="30"/>
        </w:rPr>
        <w:t xml:space="preserve"> </w:t>
      </w:r>
      <w:r>
        <w:rPr>
          <w:rFonts w:eastAsia="方正仿宋简体"/>
          <w:sz w:val="30"/>
          <w:szCs w:val="30"/>
        </w:rPr>
        <w:t>铜期货合约交割结算的基准价为该期货合约最后交易日的结算价。</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第二十二条</w:t>
      </w:r>
      <w:r>
        <w:rPr>
          <w:rFonts w:eastAsia="方正仿宋简体"/>
          <w:color w:val="000000"/>
          <w:kern w:val="0"/>
          <w:sz w:val="30"/>
          <w:szCs w:val="30"/>
        </w:rPr>
        <w:t xml:space="preserve"> 保税标准仓单的交割结算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买方到期交割取得保税标准仓单，以当月该合约的保税交割结算价进行货款结算。当月到期合约的保税交割结算价为含税交割结算价扣除相关税费，含税交割结算价为铜期货合约最后交易日后按照现有规则产生的含税的交割结算价。保税标准仓单的交割货款根据交割数量和保税交割结算价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保税交割结算价＝［（含税交割结算价－相关费用）/（1＋进口增值税税率）－消费税］/（1＋进口关税税率）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保税交割货款＝（保税交割结算价＋保税升贴水）×保税交割数量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（二）期转现保税交割结算价的计算</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期转现保税交割结算价</w:t>
      </w:r>
      <w:r>
        <w:rPr>
          <w:rFonts w:hint="eastAsia" w:eastAsia="方正仿宋简体"/>
          <w:color w:val="000000"/>
          <w:kern w:val="0"/>
          <w:sz w:val="30"/>
          <w:szCs w:val="30"/>
        </w:rPr>
        <w:t>=</w:t>
      </w:r>
      <w:r>
        <w:rPr>
          <w:rFonts w:eastAsia="方正仿宋简体"/>
          <w:color w:val="000000"/>
          <w:kern w:val="0"/>
          <w:sz w:val="30"/>
          <w:szCs w:val="30"/>
        </w:rPr>
        <w:t>［（期转现申请日前一交易日交割月份合约的结算价－相关费用）/（1＋进口增值税税率）－消费税］/（1＋进口关税税率）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hint="eastAsia" w:eastAsia="方正仿宋简体"/>
          <w:color w:val="000000"/>
          <w:kern w:val="0"/>
          <w:sz w:val="30"/>
          <w:szCs w:val="30"/>
        </w:rPr>
        <w:t>=</w:t>
      </w:r>
      <w:r>
        <w:rPr>
          <w:rFonts w:eastAsia="方正仿宋简体"/>
          <w:color w:val="000000"/>
          <w:kern w:val="0"/>
          <w:sz w:val="30"/>
          <w:szCs w:val="30"/>
        </w:rPr>
        <w:t>［升贴水/（1＋进口增值税税率）］/（1＋进口关税税率）</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期转现保税交割货款＝（期转现保税交割结算价＋保税升贴水）×保税交割数量</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（三）以上公式中升贴水为考虑交割品级、品质和仓库地区分布等因素对交割结算价的调整。公式中升贴水及相关费用由交易所另行发文通知。</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遇国家税收政策调整的，交易所可对保税交割结算价的计算公式进行调整，并适时予以公布。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第二十三条</w:t>
      </w:r>
      <w:r>
        <w:rPr>
          <w:rFonts w:eastAsia="方正仿宋简体"/>
          <w:color w:val="000000"/>
          <w:kern w:val="0"/>
          <w:sz w:val="30"/>
          <w:szCs w:val="30"/>
        </w:rPr>
        <w:t xml:space="preserve"> 对实行保税交割的铜期货品种，交易所在每个合约到期后，同时公布当月合约含税交割结算价和保税交割结算价。</w:t>
      </w:r>
    </w:p>
    <w:p>
      <w:pPr>
        <w:autoSpaceDE w:val="0"/>
        <w:autoSpaceDN w:val="0"/>
        <w:adjustRightInd w:val="0"/>
        <w:spacing w:line="56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交割地点：交易所交割仓库，</w:t>
      </w:r>
      <w:bookmarkStart w:id="2" w:name="_Hlk137631734"/>
      <w:r>
        <w:rPr>
          <w:rFonts w:eastAsia="方正仿宋简体"/>
          <w:sz w:val="30"/>
          <w:szCs w:val="30"/>
        </w:rPr>
        <w:t>由交易所另行公告</w:t>
      </w:r>
      <w:bookmarkEnd w:id="2"/>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pPr>
      <w:r>
        <w:rPr>
          <w:rFonts w:eastAsia="方正仿宋简体"/>
          <w:b/>
          <w:sz w:val="30"/>
          <w:szCs w:val="30"/>
        </w:rPr>
        <w:t>第二十六条</w:t>
      </w:r>
      <w:r>
        <w:rPr>
          <w:rFonts w:eastAsia="方正仿宋简体"/>
          <w:sz w:val="30"/>
          <w:szCs w:val="30"/>
        </w:rPr>
        <w:t xml:space="preserve"> 期转现使用标准仓单并通过交易所结算发生铜交割实物质量纠纷的，买方应当在货款和标准仓单交换日后的25天内提出质量异议申请，并应当同时提供交易所指定检验机构出具的质量鉴定结论。</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铜期货合约的最低交易保证金为合约价值的5%。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铜期货合约上市运行不同阶段的交易保证金收取标准为：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ind w:firstLine="1445" w:firstLineChars="600"/>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铜交易保证金比例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vAlign w:val="center"/>
          </w:tcPr>
          <w:p>
            <w:pPr>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pPr>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pPr>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第二十九条</w:t>
      </w:r>
      <w:r>
        <w:rPr>
          <w:rFonts w:eastAsia="方正仿宋简体"/>
          <w:sz w:val="30"/>
          <w:szCs w:val="30"/>
        </w:rPr>
        <w:t xml:space="preserve"> 铜期货合约涨跌停板幅度为上一交易日结算价±3%。</w:t>
      </w:r>
    </w:p>
    <w:p>
      <w:pPr>
        <w:spacing w:line="560" w:lineRule="exact"/>
        <w:ind w:firstLine="602" w:firstLineChars="200"/>
        <w:rPr>
          <w:rFonts w:eastAsia="方正仿宋简体"/>
          <w:bCs/>
          <w:color w:val="000000"/>
          <w:sz w:val="24"/>
        </w:rPr>
      </w:pPr>
      <w:r>
        <w:rPr>
          <w:rFonts w:eastAsia="方正仿宋简体"/>
          <w:b/>
          <w:sz w:val="30"/>
          <w:szCs w:val="30"/>
        </w:rPr>
        <w:t>第三十条</w:t>
      </w:r>
      <w:r>
        <w:rPr>
          <w:rFonts w:eastAsia="方正仿宋简体"/>
          <w:sz w:val="30"/>
          <w:szCs w:val="30"/>
        </w:rPr>
        <w:t xml:space="preserve"> 铜期货合约在不同时期的限仓比例和限仓数额具体规定如下：</w:t>
      </w:r>
      <w:r>
        <w:rPr>
          <w:rFonts w:eastAsia="方正仿宋简体"/>
          <w:b/>
          <w:color w:val="FF0000"/>
          <w:sz w:val="30"/>
          <w:szCs w:val="30"/>
        </w:rPr>
        <w:t xml:space="preserve"> </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064"/>
        <w:gridCol w:w="910"/>
        <w:gridCol w:w="965"/>
        <w:gridCol w:w="1012"/>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92" w:type="pct"/>
            <w:vMerge w:val="restart"/>
            <w:vAlign w:val="center"/>
          </w:tcPr>
          <w:p>
            <w:pPr>
              <w:spacing w:line="560" w:lineRule="exact"/>
              <w:jc w:val="center"/>
              <w:rPr>
                <w:rFonts w:eastAsia="方正仿宋简体"/>
                <w:bCs/>
                <w:color w:val="000000"/>
                <w:sz w:val="24"/>
              </w:rPr>
            </w:pPr>
          </w:p>
        </w:tc>
        <w:tc>
          <w:tcPr>
            <w:tcW w:w="2251" w:type="pct"/>
            <w:gridSpan w:val="3"/>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合约挂牌至交割月前第二月</w:t>
            </w:r>
          </w:p>
          <w:p>
            <w:pPr>
              <w:spacing w:line="560" w:lineRule="exact"/>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交割月前</w:t>
            </w:r>
          </w:p>
          <w:p>
            <w:pPr>
              <w:spacing w:line="560" w:lineRule="exact"/>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spacing w:line="560" w:lineRule="exact"/>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某一期</w:t>
            </w:r>
          </w:p>
          <w:p>
            <w:pPr>
              <w:spacing w:line="560" w:lineRule="exact"/>
              <w:jc w:val="center"/>
              <w:rPr>
                <w:rFonts w:eastAsia="方正仿宋简体"/>
                <w:bCs/>
                <w:color w:val="000000"/>
                <w:sz w:val="24"/>
              </w:rPr>
            </w:pPr>
            <w:r>
              <w:rPr>
                <w:rFonts w:eastAsia="方正仿宋简体"/>
                <w:bCs/>
                <w:color w:val="000000"/>
                <w:sz w:val="24"/>
              </w:rPr>
              <w:t>货合约</w:t>
            </w:r>
          </w:p>
          <w:p>
            <w:pPr>
              <w:spacing w:line="560" w:lineRule="exact"/>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spacing w:line="560" w:lineRule="exact"/>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21" w:type="pct"/>
            <w:gridSpan w:val="2"/>
            <w:tcBorders>
              <w:left w:val="single" w:color="auto" w:sz="4" w:space="0"/>
            </w:tcBorders>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spacing w:line="560" w:lineRule="exact"/>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spacing w:line="560" w:lineRule="exact"/>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spacing w:line="560" w:lineRule="exact"/>
              <w:jc w:val="center"/>
              <w:rPr>
                <w:rFonts w:eastAsia="方正仿宋简体"/>
                <w:bCs/>
                <w:color w:val="000000"/>
                <w:sz w:val="24"/>
              </w:rPr>
            </w:pP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635"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544"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非期货公司</w:t>
            </w:r>
          </w:p>
          <w:p>
            <w:pPr>
              <w:spacing w:line="560" w:lineRule="exact"/>
              <w:jc w:val="center"/>
              <w:rPr>
                <w:rFonts w:eastAsia="方正仿宋简体"/>
                <w:bCs/>
                <w:color w:val="000000"/>
                <w:sz w:val="24"/>
              </w:rPr>
            </w:pPr>
            <w:r>
              <w:rPr>
                <w:rFonts w:eastAsia="方正仿宋简体"/>
                <w:bCs/>
                <w:color w:val="000000"/>
                <w:sz w:val="24"/>
              </w:rPr>
              <w:t>会员</w:t>
            </w:r>
          </w:p>
        </w:tc>
        <w:tc>
          <w:tcPr>
            <w:tcW w:w="576"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非期货</w:t>
            </w:r>
          </w:p>
          <w:p>
            <w:pPr>
              <w:spacing w:line="560" w:lineRule="exact"/>
              <w:jc w:val="center"/>
              <w:rPr>
                <w:rFonts w:eastAsia="方正仿宋简体"/>
                <w:bCs/>
                <w:color w:val="000000"/>
                <w:sz w:val="24"/>
              </w:rPr>
            </w:pPr>
            <w:r>
              <w:rPr>
                <w:rFonts w:eastAsia="方正仿宋简体"/>
                <w:bCs/>
                <w:color w:val="000000"/>
                <w:sz w:val="24"/>
              </w:rPr>
              <w:t>公司</w:t>
            </w:r>
          </w:p>
          <w:p>
            <w:pPr>
              <w:spacing w:line="560" w:lineRule="exact"/>
              <w:jc w:val="center"/>
              <w:rPr>
                <w:rFonts w:eastAsia="方正仿宋简体"/>
                <w:bCs/>
                <w:color w:val="000000"/>
                <w:sz w:val="24"/>
              </w:rPr>
            </w:pPr>
            <w:r>
              <w:rPr>
                <w:rFonts w:eastAsia="方正仿宋简体"/>
                <w:bCs/>
                <w:color w:val="000000"/>
                <w:sz w:val="24"/>
              </w:rPr>
              <w:t>会员</w:t>
            </w:r>
          </w:p>
        </w:tc>
        <w:tc>
          <w:tcPr>
            <w:tcW w:w="429" w:type="pct"/>
            <w:vAlign w:val="center"/>
          </w:tcPr>
          <w:p>
            <w:pPr>
              <w:spacing w:line="560" w:lineRule="exact"/>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铜</w:t>
            </w: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hint="eastAsia" w:eastAsia="方正仿宋简体"/>
                <w:bCs/>
                <w:color w:val="000000"/>
                <w:sz w:val="24"/>
              </w:rPr>
              <w:t>≥</w:t>
            </w:r>
            <w:r>
              <w:rPr>
                <w:rFonts w:eastAsia="方正仿宋简体"/>
                <w:bCs/>
                <w:color w:val="000000"/>
                <w:sz w:val="24"/>
              </w:rPr>
              <w:t>8万手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635" w:type="pct"/>
            <w:vAlign w:val="center"/>
          </w:tcPr>
          <w:p>
            <w:pPr>
              <w:spacing w:line="560" w:lineRule="exact"/>
              <w:jc w:val="center"/>
              <w:rPr>
                <w:rFonts w:eastAsia="方正仿宋简体"/>
                <w:bCs/>
                <w:color w:val="000000"/>
                <w:sz w:val="24"/>
              </w:rPr>
            </w:pPr>
            <w:r>
              <w:rPr>
                <w:rFonts w:eastAsia="方正仿宋简体"/>
                <w:bCs/>
                <w:color w:val="000000"/>
                <w:sz w:val="24"/>
              </w:rPr>
              <w:t>10</w:t>
            </w:r>
          </w:p>
        </w:tc>
        <w:tc>
          <w:tcPr>
            <w:tcW w:w="544" w:type="pct"/>
            <w:vMerge w:val="restart"/>
            <w:tcBorders>
              <w:left w:val="single" w:color="auto" w:sz="4" w:space="0"/>
            </w:tcBorders>
            <w:vAlign w:val="center"/>
          </w:tcPr>
          <w:p>
            <w:pPr>
              <w:spacing w:line="560" w:lineRule="exact"/>
              <w:ind w:firstLine="120" w:firstLineChars="50"/>
              <w:rPr>
                <w:rFonts w:eastAsia="方正仿宋简体"/>
                <w:bCs/>
                <w:color w:val="000000"/>
                <w:sz w:val="24"/>
              </w:rPr>
            </w:pPr>
            <w:r>
              <w:rPr>
                <w:rFonts w:eastAsia="方正仿宋简体"/>
                <w:bCs/>
                <w:color w:val="000000"/>
                <w:sz w:val="24"/>
              </w:rPr>
              <w:t>3000</w:t>
            </w:r>
          </w:p>
        </w:tc>
        <w:tc>
          <w:tcPr>
            <w:tcW w:w="576"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3000</w:t>
            </w:r>
          </w:p>
        </w:tc>
        <w:tc>
          <w:tcPr>
            <w:tcW w:w="605" w:type="pct"/>
            <w:vMerge w:val="restar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1000</w:t>
            </w:r>
          </w:p>
        </w:tc>
        <w:tc>
          <w:tcPr>
            <w:tcW w:w="429" w:type="pct"/>
            <w:vMerge w:val="restart"/>
            <w:vAlign w:val="center"/>
          </w:tcPr>
          <w:p>
            <w:pPr>
              <w:spacing w:line="560" w:lineRule="exact"/>
              <w:jc w:val="center"/>
              <w:rPr>
                <w:rFonts w:eastAsia="方正仿宋简体"/>
                <w:bCs/>
                <w:color w:val="000000"/>
                <w:sz w:val="24"/>
              </w:rPr>
            </w:pPr>
            <w:r>
              <w:rPr>
                <w:rFonts w:eastAsia="方正仿宋简体"/>
                <w:bCs/>
                <w:color w:val="000000"/>
                <w:sz w:val="24"/>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spacing w:line="560" w:lineRule="exact"/>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＜8万手</w:t>
            </w:r>
          </w:p>
        </w:tc>
        <w:tc>
          <w:tcPr>
            <w:tcW w:w="643" w:type="pct"/>
            <w:tcBorders>
              <w:lef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635" w:type="pct"/>
            <w:vAlign w:val="center"/>
          </w:tcPr>
          <w:p>
            <w:pPr>
              <w:spacing w:line="560" w:lineRule="exact"/>
              <w:jc w:val="center"/>
              <w:rPr>
                <w:rFonts w:eastAsia="方正仿宋简体"/>
                <w:bCs/>
                <w:color w:val="000000"/>
                <w:sz w:val="24"/>
              </w:rPr>
            </w:pPr>
            <w:r>
              <w:rPr>
                <w:rFonts w:eastAsia="方正仿宋简体"/>
                <w:bCs/>
                <w:color w:val="000000"/>
                <w:sz w:val="24"/>
              </w:rPr>
              <w:t>8000</w:t>
            </w:r>
          </w:p>
        </w:tc>
        <w:tc>
          <w:tcPr>
            <w:tcW w:w="544"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576" w:type="pct"/>
            <w:vMerge w:val="continue"/>
            <w:vAlign w:val="center"/>
          </w:tcPr>
          <w:p>
            <w:pPr>
              <w:spacing w:line="560" w:lineRule="exact"/>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spacing w:line="560" w:lineRule="exact"/>
              <w:jc w:val="center"/>
              <w:rPr>
                <w:rFonts w:eastAsia="方正仿宋简体"/>
                <w:bCs/>
                <w:dstrike/>
                <w:color w:val="000000"/>
                <w:sz w:val="24"/>
                <w:shd w:val="pct10" w:color="auto" w:fill="FFFFFF"/>
              </w:rPr>
            </w:pPr>
          </w:p>
        </w:tc>
        <w:tc>
          <w:tcPr>
            <w:tcW w:w="429" w:type="pct"/>
            <w:vMerge w:val="continue"/>
            <w:vAlign w:val="center"/>
          </w:tcPr>
          <w:p>
            <w:pPr>
              <w:spacing w:line="560" w:lineRule="exact"/>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第三十一条</w:t>
      </w:r>
      <w:r>
        <w:rPr>
          <w:rFonts w:hint="eastAsia" w:eastAsia="方正仿宋简体"/>
          <w:b/>
          <w:sz w:val="30"/>
          <w:szCs w:val="30"/>
        </w:rPr>
        <w:t xml:space="preserve"> </w:t>
      </w:r>
      <w:r>
        <w:rPr>
          <w:rFonts w:hint="eastAsia" w:eastAsia="方正仿宋简体"/>
          <w:sz w:val="30"/>
          <w:szCs w:val="30"/>
        </w:rPr>
        <w:t>交割月前第一月的最后一个交易日收盘前，交易者（即客户、非期货公司会员，下同）在每个交易编码上的铜期货合约的一般持仓应当调整为5手的整倍数（遇市场特殊情况无法按期调整的，可以顺延一天）；进入交割月后，铜期货合约一般持仓应当是5手的整倍数，新开仓、平仓也应当是5手的整倍数。</w:t>
      </w:r>
    </w:p>
    <w:p>
      <w:pPr>
        <w:spacing w:line="560" w:lineRule="exact"/>
        <w:ind w:firstLine="602" w:firstLineChars="200"/>
        <w:rPr>
          <w:rFonts w:eastAsia="方正仿宋简体"/>
          <w:sz w:val="30"/>
          <w:szCs w:val="30"/>
        </w:rPr>
      </w:pPr>
      <w:r>
        <w:rPr>
          <w:rFonts w:eastAsia="方正仿宋简体"/>
          <w:b/>
          <w:sz w:val="30"/>
          <w:szCs w:val="30"/>
        </w:rPr>
        <w:t>第三十二条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铜</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该铜期货合约的单位净持仓亏损大于或者等于强制减仓基准日结算价6%的所有申报平仓数量的总和为平仓数量。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（三）平</w:t>
      </w:r>
      <w:r>
        <w:rPr>
          <w:rFonts w:eastAsia="方正仿宋简体"/>
          <w:sz w:val="30"/>
          <w:szCs w:val="30"/>
        </w:rPr>
        <w:t>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r>
        <w:rPr>
          <w:rFonts w:hint="eastAsia" w:eastAsia="方正仿宋简体"/>
          <w:sz w:val="30"/>
          <w:szCs w:val="30"/>
        </w:rPr>
        <w:t>。</w:t>
      </w:r>
    </w:p>
    <w:p>
      <w:pPr>
        <w:spacing w:line="560" w:lineRule="exact"/>
        <w:ind w:firstLine="600" w:firstLineChars="200"/>
        <w:rPr>
          <w:rFonts w:eastAsia="方正仿宋简体"/>
          <w:color w:val="000000"/>
          <w:sz w:val="30"/>
          <w:szCs w:val="30"/>
        </w:rPr>
      </w:pPr>
      <w:r>
        <w:rPr>
          <w:rFonts w:eastAsia="方正仿宋简体"/>
          <w:sz w:val="30"/>
          <w:szCs w:val="30"/>
        </w:rPr>
        <w:t>（四）平仓数量的分配方法。盈利6%以上的</w:t>
      </w:r>
      <w:r>
        <w:rPr>
          <w:rFonts w:hint="eastAsia" w:eastAsia="方正仿宋简体"/>
          <w:sz w:val="30"/>
          <w:szCs w:val="30"/>
        </w:rPr>
        <w:t>一般</w:t>
      </w:r>
      <w:r>
        <w:rPr>
          <w:rFonts w:eastAsia="方正仿宋简体"/>
          <w:sz w:val="30"/>
          <w:szCs w:val="30"/>
        </w:rPr>
        <w:t>持仓数</w:t>
      </w:r>
      <w:r>
        <w:rPr>
          <w:rFonts w:eastAsia="方正仿宋简体"/>
          <w:color w:val="000000"/>
          <w:sz w:val="30"/>
          <w:szCs w:val="30"/>
        </w:rPr>
        <w:t>量大于或者等于申报平仓数量的，根据申报平仓数量与盈利</w:t>
      </w:r>
      <w:r>
        <w:rPr>
          <w:rFonts w:eastAsia="方正仿宋简体"/>
          <w:sz w:val="30"/>
          <w:szCs w:val="30"/>
        </w:rPr>
        <w:t>6%</w:t>
      </w:r>
      <w:r>
        <w:rPr>
          <w:rFonts w:eastAsia="方正仿宋简体"/>
          <w:color w:val="000000"/>
          <w:sz w:val="30"/>
          <w:szCs w:val="30"/>
        </w:rPr>
        <w:t>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w:t>
      </w:r>
      <w:r>
        <w:rPr>
          <w:rFonts w:eastAsia="方正仿宋简体"/>
          <w:color w:val="000000"/>
          <w:sz w:val="30"/>
          <w:szCs w:val="30"/>
        </w:rPr>
        <w:t>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第三十六条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96E54"/>
    <w:rsid w:val="ABFE88C7"/>
    <w:rsid w:val="FBF9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2025-12-30T23:27:00Z</dcterms:created>
  <dc:creator>ji.shuoren</dc:creator>
  <cp:lastModifiedBy>ji.shuoren</cp:lastModifiedBy>
  <dcterms:modified xsi:type="dcterms:W3CDTF">2025-12-31T09:46:10Z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18C2BAE9BD0A9B6ADD7E5369AE5B4AEC</vt:lpwstr>
  </property>
</Properties>
</file>