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pPr>
      <w:bookmarkStart w:id="1" w:name="_GoBack"/>
      <w:bookmarkEnd w:id="1"/>
      <w:bookmarkStart w:id="0" w:name="_Toc667809213"/>
    </w:p>
    <w:p>
      <w:pPr>
        <w:pStyle w:val="2"/>
        <w:spacing w:before="0" w:after="0"/>
      </w:pPr>
      <w:r>
        <w:t>上海期货交易所热轧卷板期货业务细则</w:t>
      </w:r>
      <w:bookmarkEnd w:id="0"/>
    </w:p>
    <w:p>
      <w:pPr>
        <w:spacing w:line="560" w:lineRule="exact"/>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为了规范上海期货交易所（以下简称交易所）热轧卷板期货相关业务，根据《上海期货交易所交易规则》《上海期货交易所热轧卷板期货合约》以及相关业务规则，制定本细则。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第三条</w:t>
      </w:r>
      <w:r>
        <w:rPr>
          <w:rFonts w:eastAsia="方正仿宋简体"/>
          <w:sz w:val="30"/>
          <w:szCs w:val="30"/>
        </w:rPr>
        <w:t xml:space="preserve"> 热轧卷板期货合约的交易单位为10吨/手。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热轧卷板期货合约的报价单位为元（人民币）/吨。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热轧卷板期货合约的最小变动价位为1元/吨。</w:t>
      </w:r>
    </w:p>
    <w:p>
      <w:pPr>
        <w:spacing w:line="560" w:lineRule="exact"/>
        <w:ind w:firstLine="602" w:firstLineChars="200"/>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热轧卷板期货合约月份为1～12月。</w:t>
      </w:r>
    </w:p>
    <w:p>
      <w:pPr>
        <w:spacing w:line="560" w:lineRule="exact"/>
        <w:ind w:firstLine="602" w:firstLineChars="200"/>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sz w:val="30"/>
          <w:szCs w:val="30"/>
        </w:rPr>
        <w:t>热轧卷板</w:t>
      </w:r>
      <w:r>
        <w:rPr>
          <w:rFonts w:eastAsia="方正仿宋简体"/>
          <w:color w:val="000000"/>
          <w:sz w:val="30"/>
          <w:szCs w:val="30"/>
        </w:rPr>
        <w:t>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热轧卷板期货合约的最后交易日为合约月份的15日，遇国家法定节假日顺延，春节月份等最后交易日交易所可另行调整并通知。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热轧卷板期货合约的交易代码为HC。</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热轧卷板</w:t>
      </w:r>
      <w:r>
        <w:rPr>
          <w:rFonts w:eastAsia="方正仿宋简体"/>
          <w:sz w:val="30"/>
          <w:szCs w:val="30"/>
        </w:rPr>
        <w:t>期货套期保值交易</w:t>
      </w:r>
      <w:r>
        <w:rPr>
          <w:rFonts w:hint="eastAsia" w:eastAsia="方正仿宋简体"/>
          <w:color w:val="000000"/>
          <w:sz w:val="30"/>
          <w:szCs w:val="30"/>
        </w:rPr>
        <w:t>持仓额度</w:t>
      </w:r>
      <w:r>
        <w:rPr>
          <w:rFonts w:eastAsia="方正仿宋简体"/>
          <w:sz w:val="30"/>
          <w:szCs w:val="30"/>
        </w:rPr>
        <w:t>和套利交易</w:t>
      </w:r>
      <w:r>
        <w:rPr>
          <w:rFonts w:hint="eastAsia" w:eastAsia="方正仿宋简体"/>
          <w:color w:val="000000"/>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eastAsia="方正仿宋简体"/>
          <w:color w:val="000000"/>
          <w:sz w:val="30"/>
          <w:szCs w:val="30"/>
        </w:rPr>
      </w:pPr>
      <w:r>
        <w:rPr>
          <w:rFonts w:eastAsia="方正仿宋简体"/>
          <w:b/>
          <w:sz w:val="30"/>
          <w:szCs w:val="30"/>
        </w:rPr>
        <w:t>第十一条</w:t>
      </w:r>
      <w:r>
        <w:rPr>
          <w:rFonts w:hint="eastAsia" w:eastAsia="方正仿宋简体"/>
          <w:b/>
          <w:sz w:val="30"/>
          <w:szCs w:val="30"/>
        </w:rPr>
        <w:t xml:space="preserve"> </w:t>
      </w:r>
      <w:r>
        <w:rPr>
          <w:rFonts w:eastAsia="方正仿宋简体"/>
          <w:sz w:val="30"/>
          <w:szCs w:val="30"/>
        </w:rPr>
        <w:t>热轧卷板期货一般月份套期保值交易</w:t>
      </w:r>
      <w:r>
        <w:rPr>
          <w:rFonts w:hint="eastAsia" w:eastAsia="方正仿宋简体"/>
          <w:color w:val="000000"/>
          <w:sz w:val="30"/>
          <w:szCs w:val="30"/>
        </w:rPr>
        <w:t>持仓额度</w:t>
      </w:r>
      <w:r>
        <w:rPr>
          <w:rFonts w:eastAsia="方正仿宋简体"/>
          <w:sz w:val="30"/>
          <w:szCs w:val="30"/>
        </w:rPr>
        <w:t>的申请应当在该套期保值所涉合约交割月前第二月的最后一个交易日之前提出，逾期交易所不再受理。</w:t>
      </w:r>
    </w:p>
    <w:p>
      <w:pPr>
        <w:spacing w:line="560" w:lineRule="exact"/>
        <w:ind w:firstLine="600" w:firstLineChars="200"/>
        <w:rPr>
          <w:rFonts w:eastAsia="方正仿宋简体"/>
          <w:sz w:val="30"/>
          <w:szCs w:val="30"/>
        </w:rPr>
      </w:pPr>
      <w:r>
        <w:rPr>
          <w:rFonts w:eastAsia="方正仿宋简体"/>
          <w:sz w:val="30"/>
          <w:szCs w:val="30"/>
        </w:rPr>
        <w:t>热轧卷板期货临近交割月份套期保值交易</w:t>
      </w:r>
      <w:r>
        <w:rPr>
          <w:rFonts w:hint="eastAsia" w:eastAsia="方正仿宋简体"/>
          <w:color w:val="000000"/>
          <w:sz w:val="30"/>
          <w:szCs w:val="30"/>
        </w:rPr>
        <w:t>持仓额度</w:t>
      </w:r>
      <w:r>
        <w:rPr>
          <w:rFonts w:eastAsia="方正仿宋简体"/>
          <w:sz w:val="30"/>
          <w:szCs w:val="30"/>
        </w:rPr>
        <w:t>的申请应当在该套期保值所涉合约交割月前第三月的第一个交易日至交割月前第一月的最后一个交易日之间提出，逾期交易所不再受理；热轧卷板期货临近交割月份套利交易</w:t>
      </w:r>
      <w:r>
        <w:rPr>
          <w:rFonts w:hint="eastAsia" w:eastAsia="方正仿宋简体"/>
          <w:color w:val="000000"/>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热轧卷板期货套期保值交易</w:t>
      </w:r>
      <w:r>
        <w:rPr>
          <w:rFonts w:hint="eastAsia" w:eastAsia="方正仿宋简体"/>
          <w:color w:val="000000"/>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第十三条</w:t>
      </w:r>
      <w:r>
        <w:rPr>
          <w:rFonts w:eastAsia="方正仿宋简体"/>
          <w:sz w:val="30"/>
          <w:szCs w:val="30"/>
        </w:rPr>
        <w:t xml:space="preserve"> 热轧卷板期货适用期货转现货、仓库交割、厂库交割。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热轧卷板期货实行完税交割。</w:t>
      </w:r>
    </w:p>
    <w:p>
      <w:pPr>
        <w:spacing w:line="560" w:lineRule="exact"/>
        <w:ind w:firstLine="602" w:firstLineChars="200"/>
        <w:jc w:val="left"/>
        <w:rPr>
          <w:rFonts w:eastAsia="方正仿宋简体"/>
          <w:sz w:val="30"/>
          <w:szCs w:val="30"/>
        </w:rPr>
      </w:pPr>
      <w:r>
        <w:rPr>
          <w:rFonts w:eastAsia="方正仿宋简体"/>
          <w:b/>
          <w:sz w:val="30"/>
          <w:szCs w:val="30"/>
        </w:rPr>
        <w:t>第十四条</w:t>
      </w:r>
      <w:r>
        <w:rPr>
          <w:rFonts w:eastAsia="方正仿宋简体"/>
          <w:sz w:val="30"/>
          <w:szCs w:val="30"/>
        </w:rPr>
        <w:t xml:space="preserve"> 热轧卷板期货的交割品级详见《上海期货交易所热轧卷板期货合约》。</w:t>
      </w:r>
    </w:p>
    <w:p>
      <w:pPr>
        <w:spacing w:line="560" w:lineRule="exact"/>
        <w:ind w:firstLine="602" w:firstLineChars="200"/>
        <w:jc w:val="left"/>
        <w:rPr>
          <w:rFonts w:eastAsia="方正仿宋简体"/>
          <w:sz w:val="30"/>
          <w:szCs w:val="30"/>
        </w:rPr>
      </w:pPr>
      <w:r>
        <w:rPr>
          <w:rFonts w:eastAsia="方正仿宋简体"/>
          <w:b/>
          <w:sz w:val="30"/>
          <w:szCs w:val="30"/>
        </w:rPr>
        <w:t>第十五条</w:t>
      </w:r>
      <w:r>
        <w:rPr>
          <w:rFonts w:eastAsia="方正仿宋简体"/>
          <w:sz w:val="30"/>
          <w:szCs w:val="30"/>
        </w:rPr>
        <w:t xml:space="preserve"> 交割热轧卷板质量规定</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交割热轧卷板应当是在交易所注册的生产企业生产的注册商品</w:t>
      </w:r>
      <w:r>
        <w:rPr>
          <w:rFonts w:hint="eastAsia" w:eastAsia="方正仿宋简体"/>
          <w:color w:val="000000"/>
          <w:kern w:val="0"/>
          <w:sz w:val="30"/>
          <w:szCs w:val="30"/>
        </w:rPr>
        <w:t>。</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交割热轧卷板的外形、尺寸、重量及允许偏差应当符合GB/T3274-2017《碳素结构钢和低合金结构钢热轧厚钢板和钢带》或</w:t>
      </w:r>
      <w:r>
        <w:rPr>
          <w:rFonts w:hint="eastAsia" w:eastAsia="方正仿宋简体"/>
          <w:color w:val="000000"/>
          <w:kern w:val="0"/>
          <w:sz w:val="30"/>
          <w:szCs w:val="30"/>
        </w:rPr>
        <w:t>JIS G 3101-2024</w:t>
      </w:r>
      <w:r>
        <w:rPr>
          <w:rFonts w:eastAsia="方正仿宋简体"/>
          <w:color w:val="000000"/>
          <w:kern w:val="0"/>
          <w:sz w:val="30"/>
          <w:szCs w:val="30"/>
        </w:rPr>
        <w:t>《一般结构用轧制钢材》等相关规定。</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交割商品的规格</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每一标准仓单的热轧卷板，应当是同一生产企业、同一牌号和宽度、厚度的商品组成</w:t>
      </w:r>
      <w:r>
        <w:rPr>
          <w:rFonts w:hint="eastAsia" w:eastAsia="方正仿宋简体"/>
          <w:color w:val="000000"/>
          <w:kern w:val="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交割热轧卷板的包装</w:t>
      </w:r>
    </w:p>
    <w:p>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交割热轧卷板包装、标志及质量证明书等应当符合GB/T 3274-2017《碳素结构钢和低合金结构钢热轧厚钢板和钢带》或</w:t>
      </w:r>
      <w:r>
        <w:rPr>
          <w:rFonts w:hint="eastAsia" w:eastAsia="方正仿宋简体"/>
          <w:color w:val="000000"/>
          <w:kern w:val="0"/>
          <w:sz w:val="30"/>
          <w:szCs w:val="30"/>
        </w:rPr>
        <w:t>JIS G 3101-2024</w:t>
      </w:r>
      <w:r>
        <w:rPr>
          <w:rFonts w:eastAsia="方正仿宋简体"/>
          <w:color w:val="000000"/>
          <w:kern w:val="0"/>
          <w:sz w:val="30"/>
          <w:szCs w:val="30"/>
        </w:rPr>
        <w:t>《一般结构用轧制钢材》等相关规定。</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0" w:firstLineChars="200"/>
        <w:rPr>
          <w:rFonts w:eastAsia="方正仿宋简体"/>
          <w:sz w:val="30"/>
          <w:szCs w:val="30"/>
        </w:rPr>
      </w:pPr>
      <w:r>
        <w:rPr>
          <w:rFonts w:eastAsia="方正仿宋简体"/>
          <w:sz w:val="30"/>
          <w:szCs w:val="30"/>
        </w:rPr>
        <w:t>应当提供注册生产企业出具的产品质量证明书</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color w:val="000000"/>
          <w:kern w:val="0"/>
          <w:sz w:val="30"/>
          <w:szCs w:val="30"/>
        </w:rPr>
        <w:t>交割热轧卷板以实际称重方式计量。每张热轧卷板标准仓单的</w:t>
      </w:r>
      <w:r>
        <w:rPr>
          <w:rFonts w:hint="eastAsia" w:eastAsia="方正仿宋简体"/>
          <w:color w:val="000000"/>
          <w:kern w:val="0"/>
          <w:sz w:val="30"/>
          <w:szCs w:val="30"/>
        </w:rPr>
        <w:t>溢短</w:t>
      </w:r>
      <w:r>
        <w:rPr>
          <w:rFonts w:eastAsia="方正仿宋简体"/>
          <w:color w:val="000000"/>
          <w:kern w:val="0"/>
          <w:sz w:val="30"/>
          <w:szCs w:val="30"/>
        </w:rPr>
        <w:t>不超过±5%。磅差不超过±0.3%</w:t>
      </w:r>
      <w:r>
        <w:rPr>
          <w:rFonts w:hint="eastAsia" w:eastAsia="方正仿宋简体"/>
          <w:color w:val="000000"/>
          <w:kern w:val="0"/>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sz w:val="30"/>
          <w:szCs w:val="30"/>
        </w:rPr>
        <w:t>热轧卷板期货合约的交割单位为300吨。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热轧卷板期货合约的交割日期为最后交易日后连续二个工作日。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热轧卷板期货合约交割结算的基准价为该期货合约最后交易日的结算价。</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交割地点：交易所交割仓库和交割厂库，由交易所另行公告。</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第二十四条</w:t>
      </w:r>
      <w:r>
        <w:rPr>
          <w:rFonts w:eastAsia="方正仿宋简体"/>
          <w:sz w:val="30"/>
          <w:szCs w:val="30"/>
        </w:rPr>
        <w:t xml:space="preserve"> 期转现使用标准仓单并通过交易所结算发生</w:t>
      </w:r>
      <w:r>
        <w:rPr>
          <w:rFonts w:eastAsia="方正仿宋简体"/>
          <w:color w:val="000000"/>
          <w:kern w:val="0"/>
          <w:sz w:val="30"/>
          <w:szCs w:val="30"/>
        </w:rPr>
        <w:t>热轧卷板</w:t>
      </w:r>
      <w:r>
        <w:rPr>
          <w:rFonts w:eastAsia="方正仿宋简体"/>
          <w:sz w:val="30"/>
          <w:szCs w:val="30"/>
        </w:rPr>
        <w:t>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highlight w:val="yellow"/>
        </w:rPr>
      </w:pPr>
      <w:r>
        <w:rPr>
          <w:rFonts w:eastAsia="方正仿宋简体"/>
          <w:b/>
          <w:sz w:val="30"/>
          <w:szCs w:val="30"/>
        </w:rPr>
        <w:t>第二节 仓库交割</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第二十五条 </w:t>
      </w:r>
      <w:r>
        <w:rPr>
          <w:rFonts w:eastAsia="方正仿宋简体"/>
          <w:color w:val="000000"/>
          <w:kern w:val="0"/>
          <w:sz w:val="30"/>
          <w:szCs w:val="30"/>
        </w:rPr>
        <w:t>交割热轧卷板的每批商品的有效期限为生产日起的360天内，每一仓库标准仓单的热轧卷板以其中最早的生产日期作为该标准仓单的生产日期</w:t>
      </w:r>
      <w:r>
        <w:rPr>
          <w:rFonts w:eastAsia="方正仿宋简体"/>
          <w:sz w:val="30"/>
          <w:szCs w:val="30"/>
        </w:rPr>
        <w:t>。</w:t>
      </w:r>
    </w:p>
    <w:p>
      <w:pPr>
        <w:spacing w:line="560" w:lineRule="exact"/>
        <w:ind w:firstLine="602" w:firstLineChars="200"/>
        <w:rPr>
          <w:rFonts w:eastAsia="方正仿宋简体"/>
          <w:sz w:val="30"/>
          <w:szCs w:val="30"/>
          <w:highlight w:val="yellow"/>
        </w:rPr>
      </w:pPr>
      <w:r>
        <w:rPr>
          <w:rFonts w:eastAsia="方正仿宋简体"/>
          <w:b/>
          <w:sz w:val="30"/>
          <w:szCs w:val="30"/>
        </w:rPr>
        <w:t xml:space="preserve">第二十六条 </w:t>
      </w:r>
      <w:r>
        <w:rPr>
          <w:rFonts w:eastAsia="方正仿宋简体"/>
          <w:color w:val="000000"/>
          <w:kern w:val="0"/>
          <w:sz w:val="30"/>
          <w:szCs w:val="30"/>
        </w:rPr>
        <w:t>用于交割的热轧卷板每一仓库标准仓单的标的实物应当作为一个堆放垛位进行堆放</w:t>
      </w:r>
      <w:r>
        <w:rPr>
          <w:rFonts w:eastAsia="方正仿宋简体"/>
          <w:sz w:val="30"/>
          <w:szCs w:val="30"/>
        </w:rPr>
        <w:t>。</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第二十七条</w:t>
      </w:r>
      <w:r>
        <w:rPr>
          <w:rFonts w:eastAsia="方正仿宋简体"/>
          <w:color w:val="000000"/>
          <w:kern w:val="0"/>
          <w:sz w:val="30"/>
          <w:szCs w:val="30"/>
        </w:rPr>
        <w:t xml:space="preserve"> 实物交割完成后，若买方对交割商品的质量、数量有异议的（有异议的热轧卷板应当在交割仓库内），应当在实物交割月份的下一月份的15日之前（含当日，遇法定假日时顺延至假日后的第一个工作日），向交易所提出书面申请，并应当同时提供交易所指定检验机构出具的质量鉴定结论。用于交割的热轧卷板每批商品的有效期应当涵盖本次交割的最后交割日。即使交割热轧卷板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第二十八</w:t>
      </w:r>
      <w:r>
        <w:rPr>
          <w:rFonts w:eastAsia="方正仿宋简体"/>
          <w:b/>
          <w:sz w:val="30"/>
          <w:szCs w:val="30"/>
        </w:rPr>
        <w:t>条</w:t>
      </w:r>
      <w:r>
        <w:rPr>
          <w:rFonts w:hint="eastAsia" w:eastAsia="方正仿宋简体"/>
          <w:sz w:val="30"/>
          <w:szCs w:val="30"/>
        </w:rPr>
        <w:t xml:space="preserve"> 申请单位申请交割厂库，净资产不足1亿元的，应当向交易所提供有关单位出具的担保函。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第三十</w:t>
      </w:r>
      <w:r>
        <w:rPr>
          <w:rFonts w:eastAsia="方正仿宋简体"/>
          <w:b/>
          <w:sz w:val="30"/>
          <w:szCs w:val="30"/>
        </w:rPr>
        <w:t>条</w:t>
      </w:r>
      <w:r>
        <w:rPr>
          <w:rFonts w:hint="eastAsia" w:eastAsia="方正仿宋简体"/>
          <w:sz w:val="30"/>
          <w:szCs w:val="30"/>
        </w:rPr>
        <w:t xml:space="preserve"> 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b/>
          <w:bCs/>
          <w:sz w:val="30"/>
          <w:szCs w:val="30"/>
          <w:shd w:val="clear" w:color="FFFFFF" w:fill="D9D9D9"/>
        </w:rPr>
      </w:pPr>
      <w:r>
        <w:rPr>
          <w:rFonts w:eastAsia="方正仿宋简体"/>
          <w:sz w:val="30"/>
          <w:szCs w:val="30"/>
        </w:rPr>
        <w:t>厂库签发厂库标准仓单前，须向交易所提交签发申请。申请内容包括品种、牌号、商标、会员单位、货主名称、拟申请签发标准仓单数量等。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厂库标准仓单交割有效期的规定</w:t>
      </w:r>
    </w:p>
    <w:p>
      <w:pPr>
        <w:spacing w:line="560" w:lineRule="exact"/>
        <w:ind w:firstLine="600" w:firstLineChars="200"/>
        <w:rPr>
          <w:rFonts w:eastAsia="方正仿宋简体"/>
          <w:sz w:val="30"/>
          <w:szCs w:val="30"/>
        </w:rPr>
      </w:pPr>
      <w:r>
        <w:rPr>
          <w:rFonts w:eastAsia="方正仿宋简体"/>
          <w:sz w:val="30"/>
          <w:szCs w:val="30"/>
        </w:rPr>
        <w:t>厂库标准仓单的交割有效期为厂库标准仓单生成之日起</w:t>
      </w:r>
      <w:r>
        <w:rPr>
          <w:rFonts w:hint="eastAsia" w:eastAsia="方正仿宋简体"/>
          <w:sz w:val="30"/>
          <w:szCs w:val="30"/>
        </w:rPr>
        <w:t>1</w:t>
      </w:r>
      <w:r>
        <w:rPr>
          <w:rFonts w:eastAsia="方正仿宋简体"/>
          <w:sz w:val="30"/>
          <w:szCs w:val="30"/>
        </w:rPr>
        <w:t>80</w:t>
      </w:r>
      <w:r>
        <w:rPr>
          <w:rFonts w:hint="eastAsia" w:eastAsia="方正仿宋简体"/>
          <w:sz w:val="30"/>
          <w:szCs w:val="30"/>
        </w:rPr>
        <w:t>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（二）厂库在货主提交提货申请后的3个工作日内、参照货主提交的提货日、规格及企业的生产计划等，确认货主的提货申请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3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hint="eastAsia" w:eastAsia="方正仿宋简体"/>
          <w:b/>
          <w:sz w:val="30"/>
          <w:szCs w:val="30"/>
        </w:rPr>
        <w:t>第三十四</w:t>
      </w:r>
      <w:r>
        <w:rPr>
          <w:rFonts w:eastAsia="方正仿宋简体"/>
          <w:b/>
          <w:sz w:val="30"/>
          <w:szCs w:val="30"/>
        </w:rPr>
        <w:t>条</w:t>
      </w:r>
      <w:r>
        <w:rPr>
          <w:rFonts w:hint="eastAsia" w:eastAsia="方正仿宋简体"/>
          <w:sz w:val="30"/>
          <w:szCs w:val="30"/>
        </w:rPr>
        <w:t xml:space="preserve"> 热轧卷板厂库标准仓单货主向对应厂库申请提货的，厂库提供的出库商品规格（厚度分布）应当符合下列要求：</w:t>
      </w:r>
    </w:p>
    <w:p>
      <w:pPr>
        <w:numPr>
          <w:ilvl w:val="0"/>
          <w:numId w:val="1"/>
        </w:numPr>
        <w:spacing w:line="560" w:lineRule="exact"/>
        <w:ind w:firstLine="600" w:firstLineChars="200"/>
        <w:rPr>
          <w:rFonts w:eastAsia="方正仿宋简体"/>
          <w:sz w:val="30"/>
          <w:szCs w:val="30"/>
        </w:rPr>
      </w:pPr>
      <w:r>
        <w:rPr>
          <w:rFonts w:hint="eastAsia" w:eastAsia="方正仿宋简体"/>
          <w:sz w:val="30"/>
          <w:szCs w:val="30"/>
        </w:rPr>
        <w:t>厂库标准仓单货主提货数量≤900吨，出库商品可以是同一厚度。</w:t>
      </w:r>
    </w:p>
    <w:p>
      <w:pPr>
        <w:spacing w:line="560" w:lineRule="exact"/>
        <w:ind w:firstLine="600" w:firstLineChars="200"/>
        <w:rPr>
          <w:rFonts w:eastAsia="方正仿宋简体"/>
          <w:sz w:val="30"/>
          <w:szCs w:val="30"/>
        </w:rPr>
      </w:pPr>
      <w:r>
        <w:rPr>
          <w:rFonts w:hint="eastAsia" w:eastAsia="方正仿宋简体"/>
          <w:sz w:val="30"/>
          <w:szCs w:val="30"/>
        </w:rPr>
        <w:t>2. 900吨&lt;厂库标准仓单货主提货数量≤1800吨，出库商品至少是两个厚度，并且每一厚度提货数量不得高于其总提货数量的60%。</w:t>
      </w:r>
    </w:p>
    <w:p>
      <w:pPr>
        <w:numPr>
          <w:ilvl w:val="0"/>
          <w:numId w:val="2"/>
        </w:numPr>
        <w:spacing w:line="560" w:lineRule="exact"/>
        <w:ind w:firstLine="600" w:firstLineChars="200"/>
        <w:rPr>
          <w:rFonts w:eastAsia="方正仿宋简体"/>
          <w:sz w:val="30"/>
          <w:szCs w:val="30"/>
        </w:rPr>
      </w:pPr>
      <w:r>
        <w:rPr>
          <w:rFonts w:hint="eastAsia" w:eastAsia="方正仿宋简体"/>
          <w:sz w:val="30"/>
          <w:szCs w:val="30"/>
        </w:rPr>
        <w:t>1800吨&lt;厂库标准仓单货主提货数量≤3600吨，出库商品至少是三个厚度，并且每一厚度提货数量不得高于其总提货数量的45%。</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3600吨&lt;厂库标准仓单货主提货数量≤7200吨，出库商品至少是四个厚度，并且每一厚度提货数量不得高于其总提货数量的35%。</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7200吨&lt;厂库标准仓单货主提货数量≤12000吨，出库商品至少是五个厚度，并且每一厚度提货数量不得高于其总提货数量的25%。</w:t>
      </w:r>
    </w:p>
    <w:p>
      <w:pPr>
        <w:numPr>
          <w:ilvl w:val="0"/>
          <w:numId w:val="3"/>
        </w:numPr>
        <w:spacing w:line="560" w:lineRule="exact"/>
        <w:ind w:firstLine="600" w:firstLineChars="200"/>
        <w:rPr>
          <w:rFonts w:eastAsia="方正仿宋简体"/>
          <w:sz w:val="30"/>
          <w:szCs w:val="30"/>
        </w:rPr>
      </w:pPr>
      <w:r>
        <w:rPr>
          <w:rFonts w:hint="eastAsia" w:eastAsia="方正仿宋简体"/>
          <w:sz w:val="30"/>
          <w:szCs w:val="30"/>
        </w:rPr>
        <w:t>厂库标准仓单货主提货数量&gt;12000吨，出库商品至少是六个厚度，并且每一厚度提货数量不得高于其总提货数量的20%。</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出库商品生产日期的规定</w:t>
      </w:r>
    </w:p>
    <w:p>
      <w:pPr>
        <w:spacing w:line="560" w:lineRule="exact"/>
        <w:ind w:firstLine="600" w:firstLineChars="200"/>
        <w:rPr>
          <w:rFonts w:eastAsia="方正仿宋简体"/>
          <w:sz w:val="30"/>
          <w:szCs w:val="30"/>
        </w:rPr>
      </w:pPr>
      <w:r>
        <w:rPr>
          <w:rFonts w:eastAsia="方正仿宋简体"/>
          <w:sz w:val="30"/>
          <w:szCs w:val="30"/>
        </w:rPr>
        <w:t>出库商品的生产日期应在货主和厂库之间已经确定的提货日之前的</w:t>
      </w:r>
      <w:r>
        <w:rPr>
          <w:rFonts w:hint="eastAsia" w:eastAsia="方正仿宋简体"/>
          <w:sz w:val="30"/>
          <w:szCs w:val="30"/>
        </w:rPr>
        <w:t>三百六十日</w:t>
      </w:r>
      <w:r>
        <w:rPr>
          <w:rFonts w:eastAsia="方正仿宋简体"/>
          <w:sz w:val="30"/>
          <w:szCs w:val="30"/>
        </w:rPr>
        <w:t>之内</w:t>
      </w:r>
      <w:r>
        <w:rPr>
          <w:rFonts w:hint="eastAsia" w:eastAsia="方正仿宋简体"/>
          <w:sz w:val="30"/>
          <w:szCs w:val="30"/>
        </w:rPr>
        <w:t>，组成每一厂库标准仓单出库的热轧卷板生产日期应当不超过连续三十日。</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出库商品重量以厂库检重为准。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（一）货主在约定提货日后的第15日向厂库提出自约定提货日后的第16日起，终止接受厂库应发而未发的剩余商品，厂库须向货主返还货款并支付追加赔偿金</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当厂库发生第</w:t>
      </w:r>
      <w:r>
        <w:rPr>
          <w:rFonts w:hint="eastAsia" w:eastAsia="方正仿宋简体"/>
          <w:sz w:val="30"/>
          <w:szCs w:val="30"/>
        </w:rPr>
        <w:t>三十九</w:t>
      </w:r>
      <w:r>
        <w:rPr>
          <w:rFonts w:eastAsia="方正仿宋简体"/>
          <w:sz w:val="30"/>
          <w:szCs w:val="30"/>
        </w:rPr>
        <w:t>条、第</w:t>
      </w:r>
      <w:r>
        <w:rPr>
          <w:rFonts w:hint="eastAsia" w:eastAsia="方正仿宋简体"/>
          <w:sz w:val="30"/>
          <w:szCs w:val="30"/>
        </w:rPr>
        <w:t>四十</w:t>
      </w:r>
      <w:r>
        <w:rPr>
          <w:rFonts w:eastAsia="方正仿宋简体"/>
          <w:sz w:val="30"/>
          <w:szCs w:val="30"/>
        </w:rPr>
        <w:t>条中的违约行为时，首先由厂库直接向货主支付赔偿金。厂库未支付的或支付数额不足的，交易所按照以下步骤向货主支付赔偿金：</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当货主发生第</w:t>
      </w:r>
      <w:r>
        <w:rPr>
          <w:rFonts w:hint="eastAsia" w:eastAsia="方正仿宋简体"/>
          <w:sz w:val="30"/>
          <w:szCs w:val="30"/>
        </w:rPr>
        <w:t>三十七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条中的违约行为时，首先由货主直接向厂库支付赔偿金。货主未支付的或支付数额不足的，厂库可通过包括法律程序在内的其他手段向货主追索。</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四十三</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条、第三十</w:t>
      </w:r>
      <w:r>
        <w:rPr>
          <w:rFonts w:hint="eastAsia" w:eastAsia="方正仿宋简体"/>
          <w:sz w:val="30"/>
          <w:szCs w:val="30"/>
        </w:rPr>
        <w:t>九</w:t>
      </w:r>
      <w:r>
        <w:rPr>
          <w:rFonts w:eastAsia="方正仿宋简体"/>
          <w:sz w:val="30"/>
          <w:szCs w:val="30"/>
        </w:rPr>
        <w:t>条、第</w:t>
      </w:r>
      <w:r>
        <w:rPr>
          <w:rFonts w:hint="eastAsia" w:eastAsia="方正仿宋简体"/>
          <w:sz w:val="30"/>
          <w:szCs w:val="30"/>
        </w:rPr>
        <w:t>四十</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若提货方对交割商品的质量有异议的，须在实物交收完成后</w:t>
      </w:r>
      <w:r>
        <w:rPr>
          <w:rFonts w:hint="eastAsia" w:eastAsia="方正仿宋简体"/>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第四十五</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热轧卷板期货合约的最低交易保证金为合约价值的4%。</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热轧卷板期货合约上市运行不同阶段的交易保证金收取标准为：</w:t>
      </w:r>
    </w:p>
    <w:tbl>
      <w:tblPr>
        <w:tblStyle w:val="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
                <w:bCs/>
                <w:color w:val="000000"/>
                <w:sz w:val="24"/>
              </w:rPr>
            </w:pPr>
            <w:r>
              <w:rPr>
                <w:rFonts w:eastAsia="方正仿宋简体"/>
                <w:b/>
                <w:bCs/>
                <w:color w:val="000000"/>
                <w:sz w:val="24"/>
              </w:rPr>
              <w:t>热轧卷板交易保证金比例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 xml:space="preserve">条 </w:t>
      </w:r>
      <w:r>
        <w:rPr>
          <w:rFonts w:eastAsia="方正仿宋简体"/>
          <w:sz w:val="30"/>
          <w:szCs w:val="30"/>
        </w:rPr>
        <w:t>热轧卷板期货合约涨跌停板幅度为上一交易日结算价±3%。</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期货公司会员、非期货公司会员和客户的热轧卷板期货合约在不同时期的限仓比例和限仓数额具体规定如下：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7"/>
        <w:tblW w:w="86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1"/>
        <w:gridCol w:w="1024"/>
        <w:gridCol w:w="978"/>
        <w:gridCol w:w="1267"/>
        <w:gridCol w:w="848"/>
        <w:gridCol w:w="776"/>
        <w:gridCol w:w="843"/>
        <w:gridCol w:w="756"/>
        <w:gridCol w:w="793"/>
        <w:gridCol w:w="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036" w:hRule="atLeast"/>
          <w:jc w:val="center"/>
        </w:trPr>
        <w:tc>
          <w:tcPr>
            <w:tcW w:w="77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002"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合约挂牌至交割月份</w:t>
            </w:r>
          </w:p>
        </w:tc>
        <w:tc>
          <w:tcPr>
            <w:tcW w:w="2891" w:type="dxa"/>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599"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359"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9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tc>
        <w:tc>
          <w:tcPr>
            <w:tcW w:w="1267" w:type="dxa"/>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624" w:type="dxa"/>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eastAsia="方正仿宋简体"/>
                <w:kern w:val="0"/>
                <w:sz w:val="24"/>
              </w:rPr>
            </w:pPr>
            <w:r>
              <w:rPr>
                <w:rFonts w:eastAsia="方正仿宋简体"/>
                <w:bCs/>
                <w:color w:val="000000"/>
                <w:kern w:val="0"/>
                <w:sz w:val="24"/>
              </w:rPr>
              <w:t>和限仓数额(手)</w:t>
            </w:r>
          </w:p>
        </w:tc>
        <w:tc>
          <w:tcPr>
            <w:tcW w:w="1599"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限仓数额(手)</w:t>
            </w:r>
          </w:p>
        </w:tc>
        <w:tc>
          <w:tcPr>
            <w:tcW w:w="1359" w:type="dxa"/>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期货公司会员</w:t>
            </w:r>
          </w:p>
        </w:tc>
        <w:tc>
          <w:tcPr>
            <w:tcW w:w="1267" w:type="dxa"/>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84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77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843"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75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793"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6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jc w:val="center"/>
        </w:trPr>
        <w:tc>
          <w:tcPr>
            <w:tcW w:w="77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热轧卷板</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120万手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25</w:t>
            </w:r>
          </w:p>
        </w:tc>
        <w:tc>
          <w:tcPr>
            <w:tcW w:w="1267" w:type="dxa"/>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120万手</w:t>
            </w:r>
          </w:p>
        </w:tc>
        <w:tc>
          <w:tcPr>
            <w:tcW w:w="84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77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9000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jc w:val="center"/>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1267" w:type="dxa"/>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＜120万手</w:t>
            </w:r>
          </w:p>
        </w:tc>
        <w:tc>
          <w:tcPr>
            <w:tcW w:w="84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120000</w:t>
            </w:r>
          </w:p>
        </w:tc>
        <w:tc>
          <w:tcPr>
            <w:tcW w:w="776"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120000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交割月前第一月的最后一个交易日收盘前，</w:t>
      </w:r>
      <w:r>
        <w:rPr>
          <w:rFonts w:hint="eastAsia" w:eastAsia="方正仿宋简体"/>
          <w:color w:val="000000"/>
          <w:sz w:val="30"/>
          <w:szCs w:val="30"/>
        </w:rPr>
        <w:t>交易者（</w:t>
      </w:r>
      <w:r>
        <w:rPr>
          <w:rFonts w:hint="eastAsia" w:eastAsia="方正仿宋简体" w:cs="Calibri"/>
          <w:color w:val="000000"/>
          <w:kern w:val="0"/>
          <w:sz w:val="30"/>
          <w:szCs w:val="30"/>
        </w:rPr>
        <w:t>即客户、非期货公司会员，下同</w:t>
      </w:r>
      <w:r>
        <w:rPr>
          <w:rFonts w:hint="eastAsia" w:eastAsia="方正仿宋简体"/>
          <w:color w:val="000000"/>
          <w:sz w:val="30"/>
          <w:szCs w:val="30"/>
        </w:rPr>
        <w:t>）</w:t>
      </w:r>
      <w:r>
        <w:rPr>
          <w:rFonts w:eastAsia="方正仿宋简体"/>
          <w:sz w:val="30"/>
          <w:szCs w:val="30"/>
        </w:rPr>
        <w:t>在每个</w:t>
      </w:r>
      <w:r>
        <w:rPr>
          <w:rFonts w:hint="eastAsia" w:eastAsia="方正仿宋简体"/>
          <w:color w:val="000000"/>
          <w:sz w:val="30"/>
          <w:szCs w:val="30"/>
        </w:rPr>
        <w:t>交易编码上的</w:t>
      </w:r>
      <w:r>
        <w:rPr>
          <w:rFonts w:eastAsia="方正仿宋简体"/>
          <w:sz w:val="30"/>
          <w:szCs w:val="30"/>
        </w:rPr>
        <w:t>热轧卷板期货合约的</w:t>
      </w:r>
      <w:r>
        <w:rPr>
          <w:rFonts w:hint="eastAsia" w:eastAsia="方正仿宋简体"/>
          <w:color w:val="000000"/>
          <w:sz w:val="30"/>
          <w:szCs w:val="30"/>
        </w:rPr>
        <w:t>一般</w:t>
      </w:r>
      <w:r>
        <w:rPr>
          <w:rFonts w:eastAsia="方正仿宋简体"/>
          <w:sz w:val="30"/>
          <w:szCs w:val="30"/>
        </w:rPr>
        <w:t>持仓应当调整为30手的整倍数（遇市场特殊情况无法按期调整的，可以顺延一天）</w:t>
      </w:r>
      <w:r>
        <w:rPr>
          <w:rFonts w:hint="eastAsia" w:eastAsia="方正仿宋简体"/>
          <w:sz w:val="30"/>
          <w:szCs w:val="30"/>
        </w:rPr>
        <w:t>；</w:t>
      </w:r>
      <w:r>
        <w:rPr>
          <w:rFonts w:eastAsia="方正仿宋简体"/>
          <w:sz w:val="30"/>
          <w:szCs w:val="30"/>
        </w:rPr>
        <w:t>进入交割月后，热轧卷板期货合约</w:t>
      </w:r>
      <w:r>
        <w:rPr>
          <w:rFonts w:hint="eastAsia" w:eastAsia="方正仿宋简体"/>
          <w:color w:val="000000"/>
          <w:sz w:val="30"/>
          <w:szCs w:val="30"/>
        </w:rPr>
        <w:t>一般</w:t>
      </w:r>
      <w:r>
        <w:rPr>
          <w:rFonts w:eastAsia="方正仿宋简体"/>
          <w:sz w:val="30"/>
          <w:szCs w:val="30"/>
        </w:rPr>
        <w:t>持仓应当是30手的整倍数，新开仓、平仓也应当是30手的整倍数。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交易所对某一热轧卷板期货合约采取强制减仓的，其申报平仓数量、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sz w:val="30"/>
          <w:szCs w:val="30"/>
        </w:rPr>
        <w:t>该热轧卷板期货合约的单位净持仓亏损大于或者等于强制减仓基准日结算价6%的所有申报平仓数量的总和为平仓数量。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sz w:val="30"/>
          <w:szCs w:val="30"/>
        </w:rPr>
        <w:t>3%</w:t>
      </w:r>
      <w:r>
        <w:rPr>
          <w:rFonts w:eastAsia="方正仿宋简体"/>
          <w:color w:val="000000"/>
          <w:sz w:val="30"/>
          <w:szCs w:val="30"/>
        </w:rPr>
        <w:t>，小于</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sz w:val="30"/>
          <w:szCs w:val="30"/>
        </w:rPr>
        <w:t>3%</w:t>
      </w:r>
      <w:r>
        <w:rPr>
          <w:rFonts w:eastAsia="方正仿宋简体"/>
          <w:color w:val="000000"/>
          <w:sz w:val="30"/>
          <w:szCs w:val="30"/>
        </w:rPr>
        <w:t>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持仓数量的比例，将申报平仓数量向盈利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持仓分配实际平仓数量；盈利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持仓数量小于申报平仓数量的，根据盈利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持仓数量与申报平仓数量的比例，将盈利</w:t>
      </w:r>
      <w:r>
        <w:rPr>
          <w:rFonts w:eastAsia="方正仿宋简体"/>
          <w:sz w:val="30"/>
          <w:szCs w:val="30"/>
        </w:rPr>
        <w:t>6%</w:t>
      </w:r>
      <w:r>
        <w:rPr>
          <w:rFonts w:eastAsia="方正仿宋简体"/>
          <w:color w:val="000000"/>
          <w:sz w:val="30"/>
          <w:szCs w:val="30"/>
        </w:rPr>
        <w:t>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sz w:val="30"/>
          <w:szCs w:val="30"/>
        </w:rPr>
        <w:t>3%</w:t>
      </w:r>
      <w:r>
        <w:rPr>
          <w:rFonts w:eastAsia="方正仿宋简体"/>
          <w:color w:val="000000"/>
          <w:sz w:val="30"/>
          <w:szCs w:val="30"/>
        </w:rPr>
        <w:t>以上的</w:t>
      </w:r>
      <w:r>
        <w:rPr>
          <w:rFonts w:hint="eastAsia" w:eastAsia="方正仿宋简体"/>
          <w:color w:val="000000"/>
          <w:sz w:val="30"/>
          <w:szCs w:val="30"/>
        </w:rPr>
        <w:t>一般</w:t>
      </w:r>
      <w:r>
        <w:rPr>
          <w:rFonts w:eastAsia="方正仿宋简体"/>
          <w:color w:val="000000"/>
          <w:sz w:val="30"/>
          <w:szCs w:val="30"/>
        </w:rPr>
        <w:t>持仓分配；还有剩余的，再向盈利</w:t>
      </w:r>
      <w:r>
        <w:rPr>
          <w:rFonts w:eastAsia="方正仿宋简体"/>
          <w:sz w:val="30"/>
          <w:szCs w:val="30"/>
        </w:rPr>
        <w:t>3%</w:t>
      </w:r>
      <w:r>
        <w:rPr>
          <w:rFonts w:eastAsia="方正仿宋简体"/>
          <w:color w:val="000000"/>
          <w:sz w:val="30"/>
          <w:szCs w:val="30"/>
        </w:rPr>
        <w:t>以下的</w:t>
      </w:r>
      <w:r>
        <w:rPr>
          <w:rFonts w:hint="eastAsia" w:eastAsia="方正仿宋简体"/>
          <w:color w:val="000000"/>
          <w:sz w:val="30"/>
          <w:szCs w:val="30"/>
        </w:rPr>
        <w:t>一般</w:t>
      </w:r>
      <w:r>
        <w:rPr>
          <w:rFonts w:eastAsia="方正仿宋简体"/>
          <w:color w:val="000000"/>
          <w:sz w:val="30"/>
          <w:szCs w:val="30"/>
        </w:rPr>
        <w:t>持仓分配；再有剩余的，再向盈利</w:t>
      </w:r>
      <w:r>
        <w:rPr>
          <w:rFonts w:eastAsia="方正仿宋简体"/>
          <w:sz w:val="30"/>
          <w:szCs w:val="30"/>
        </w:rPr>
        <w:t>6%</w:t>
      </w:r>
      <w:r>
        <w:rPr>
          <w:rFonts w:eastAsia="方正仿宋简体"/>
          <w:color w:val="000000"/>
          <w:sz w:val="30"/>
          <w:szCs w:val="30"/>
        </w:rPr>
        <w:t>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五十四</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olor w:val="212121"/>
          <w:kern w:val="0"/>
          <w:sz w:val="30"/>
          <w:szCs w:val="30"/>
        </w:rPr>
      </w:pPr>
      <w:r>
        <w:rPr>
          <w:rFonts w:eastAsia="方正仿宋简体"/>
          <w:b/>
          <w:sz w:val="30"/>
          <w:szCs w:val="30"/>
        </w:rPr>
        <w:t>第五十</w:t>
      </w:r>
      <w:r>
        <w:rPr>
          <w:rFonts w:hint="eastAsia" w:eastAsia="方正仿宋简体"/>
          <w:b/>
          <w:sz w:val="30"/>
          <w:szCs w:val="30"/>
        </w:rPr>
        <w:t>五</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本细</w:t>
      </w:r>
      <w:r>
        <w:rPr>
          <w:rFonts w:eastAsia="方正仿宋简体"/>
          <w:color w:val="auto"/>
          <w:sz w:val="30"/>
          <w:szCs w:val="30"/>
        </w:rPr>
        <w:t>则自</w:t>
      </w:r>
      <w:r>
        <w:rPr>
          <w:rFonts w:hint="eastAsia" w:eastAsia="方正仿宋简体"/>
          <w:color w:val="auto"/>
          <w:sz w:val="30"/>
          <w:szCs w:val="30"/>
          <w:lang w:val="en-US" w:eastAsia="zh-CN"/>
        </w:rPr>
        <w:t>2025</w:t>
      </w:r>
      <w:r>
        <w:rPr>
          <w:rFonts w:eastAsia="方正仿宋简体"/>
          <w:color w:val="auto"/>
          <w:sz w:val="30"/>
          <w:szCs w:val="30"/>
        </w:rPr>
        <w:t>年</w:t>
      </w:r>
      <w:r>
        <w:rPr>
          <w:rFonts w:hint="eastAsia" w:eastAsia="方正仿宋简体"/>
          <w:color w:val="auto"/>
          <w:sz w:val="30"/>
          <w:szCs w:val="30"/>
          <w:lang w:val="en-US" w:eastAsia="zh-CN"/>
        </w:rPr>
        <w:t>11</w:t>
      </w:r>
      <w:r>
        <w:rPr>
          <w:rFonts w:eastAsia="方正仿宋简体"/>
          <w:color w:val="auto"/>
          <w:sz w:val="30"/>
          <w:szCs w:val="30"/>
        </w:rPr>
        <w:t>月</w:t>
      </w:r>
      <w:r>
        <w:rPr>
          <w:rFonts w:hint="eastAsia" w:eastAsia="方正仿宋简体"/>
          <w:color w:val="auto"/>
          <w:sz w:val="30"/>
          <w:szCs w:val="30"/>
          <w:lang w:val="en-US" w:eastAsia="zh-CN"/>
        </w:rPr>
        <w:t>20</w:t>
      </w:r>
      <w:r>
        <w:rPr>
          <w:rFonts w:eastAsia="方正仿宋简体"/>
          <w:color w:val="auto"/>
          <w:sz w:val="30"/>
          <w:szCs w:val="30"/>
        </w:rPr>
        <w:t>日起实</w:t>
      </w:r>
      <w:r>
        <w:rPr>
          <w:rFonts w:eastAsia="方正仿宋简体"/>
          <w:sz w:val="30"/>
          <w:szCs w:val="30"/>
        </w:rPr>
        <w:t>施。</w:t>
      </w:r>
    </w:p>
    <w:p>
      <w:pPr>
        <w:spacing w:line="560" w:lineRule="exact"/>
        <w:jc w:val="right"/>
        <w:rPr>
          <w:rFonts w:eastAsia="方正仿宋简体"/>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119"/>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46 -</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E920A"/>
    <w:multiLevelType w:val="singleLevel"/>
    <w:tmpl w:val="A6BE920A"/>
    <w:lvl w:ilvl="0" w:tentative="0">
      <w:start w:val="3"/>
      <w:numFmt w:val="decimal"/>
      <w:suff w:val="space"/>
      <w:lvlText w:val="%1."/>
      <w:lvlJc w:val="left"/>
    </w:lvl>
  </w:abstractNum>
  <w:abstractNum w:abstractNumId="1">
    <w:nsid w:val="BF6372BC"/>
    <w:multiLevelType w:val="singleLevel"/>
    <w:tmpl w:val="BF6372BC"/>
    <w:lvl w:ilvl="0" w:tentative="0">
      <w:start w:val="1"/>
      <w:numFmt w:val="decimal"/>
      <w:suff w:val="space"/>
      <w:lvlText w:val="%1."/>
      <w:lvlJc w:val="left"/>
    </w:lvl>
  </w:abstractNum>
  <w:abstractNum w:abstractNumId="2">
    <w:nsid w:val="FFDBC5B1"/>
    <w:multiLevelType w:val="singleLevel"/>
    <w:tmpl w:val="FFDBC5B1"/>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66"/>
    <w:rsid w:val="00110B52"/>
    <w:rsid w:val="00111E9F"/>
    <w:rsid w:val="001D4488"/>
    <w:rsid w:val="00224D19"/>
    <w:rsid w:val="00226DCC"/>
    <w:rsid w:val="0029026D"/>
    <w:rsid w:val="002A2BDD"/>
    <w:rsid w:val="002A5D89"/>
    <w:rsid w:val="002B5B00"/>
    <w:rsid w:val="002F2DB5"/>
    <w:rsid w:val="003564F1"/>
    <w:rsid w:val="00377960"/>
    <w:rsid w:val="0039743D"/>
    <w:rsid w:val="003A760B"/>
    <w:rsid w:val="003B544D"/>
    <w:rsid w:val="003F76E5"/>
    <w:rsid w:val="0040241D"/>
    <w:rsid w:val="0043004F"/>
    <w:rsid w:val="00433248"/>
    <w:rsid w:val="00450254"/>
    <w:rsid w:val="004966C6"/>
    <w:rsid w:val="00496D6E"/>
    <w:rsid w:val="005B6C00"/>
    <w:rsid w:val="005F5284"/>
    <w:rsid w:val="006869C0"/>
    <w:rsid w:val="00761331"/>
    <w:rsid w:val="00775B6A"/>
    <w:rsid w:val="0079017E"/>
    <w:rsid w:val="007B7959"/>
    <w:rsid w:val="007D1A0E"/>
    <w:rsid w:val="007D5AB5"/>
    <w:rsid w:val="00863A69"/>
    <w:rsid w:val="00883B99"/>
    <w:rsid w:val="00A90496"/>
    <w:rsid w:val="00AB45ED"/>
    <w:rsid w:val="00AD3BFC"/>
    <w:rsid w:val="00BA680F"/>
    <w:rsid w:val="00BB10C1"/>
    <w:rsid w:val="00C501EF"/>
    <w:rsid w:val="00CA5C0B"/>
    <w:rsid w:val="00CB5EEB"/>
    <w:rsid w:val="00CD1A18"/>
    <w:rsid w:val="00CF6D06"/>
    <w:rsid w:val="00D13190"/>
    <w:rsid w:val="00D33D71"/>
    <w:rsid w:val="00D94DD3"/>
    <w:rsid w:val="00DD4E4E"/>
    <w:rsid w:val="00E15DFE"/>
    <w:rsid w:val="00E761C2"/>
    <w:rsid w:val="00EF0FB7"/>
    <w:rsid w:val="00F53766"/>
    <w:rsid w:val="00FD5F48"/>
    <w:rsid w:val="00FE56A3"/>
    <w:rsid w:val="00FF2609"/>
    <w:rsid w:val="00FF441D"/>
    <w:rsid w:val="17DD0A50"/>
    <w:rsid w:val="1EF795BE"/>
    <w:rsid w:val="1FDBA603"/>
    <w:rsid w:val="36F5B5AD"/>
    <w:rsid w:val="3FEF56B8"/>
    <w:rsid w:val="50B16954"/>
    <w:rsid w:val="56FF2701"/>
    <w:rsid w:val="5DEB0705"/>
    <w:rsid w:val="6A7B8F9C"/>
    <w:rsid w:val="6FF53B4D"/>
    <w:rsid w:val="716606AD"/>
    <w:rsid w:val="736EE759"/>
    <w:rsid w:val="73FFC7AC"/>
    <w:rsid w:val="7B2F5D06"/>
    <w:rsid w:val="7BFF4744"/>
    <w:rsid w:val="7C37F7F3"/>
    <w:rsid w:val="7C4C785F"/>
    <w:rsid w:val="7EFD0B59"/>
    <w:rsid w:val="7FCDB7DA"/>
    <w:rsid w:val="B54B6469"/>
    <w:rsid w:val="BE4A1C43"/>
    <w:rsid w:val="C0E43E81"/>
    <w:rsid w:val="DF6DCCE7"/>
    <w:rsid w:val="DFBF7608"/>
    <w:rsid w:val="DFF9840A"/>
    <w:rsid w:val="E2AF889F"/>
    <w:rsid w:val="F7FE14E8"/>
    <w:rsid w:val="F85918C4"/>
    <w:rsid w:val="F8DEF3E3"/>
    <w:rsid w:val="F9C39CBB"/>
    <w:rsid w:val="FE67E721"/>
    <w:rsid w:val="FEBE1B2E"/>
    <w:rsid w:val="FF7B9E1A"/>
    <w:rsid w:val="FFA792E0"/>
    <w:rsid w:val="FFB3A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120" w:after="120" w:line="560" w:lineRule="exact"/>
      <w:jc w:val="center"/>
      <w:outlineLvl w:val="0"/>
    </w:pPr>
    <w:rPr>
      <w:rFonts w:eastAsia="方正大标宋简体"/>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10FEF83-8D6A-48F0-B6A9-4D236B1DF7E2}">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12</Pages>
  <Words>3256</Words>
  <Characters>18564</Characters>
  <Lines>154</Lines>
  <Paragraphs>43</Paragraphs>
  <TotalTime>4</TotalTime>
  <ScaleCrop>false</ScaleCrop>
  <LinksUpToDate>false</LinksUpToDate>
  <CharactersWithSpaces>21777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2024-04-01T05:38:00Z</dcterms:created>
  <dc:creator>季铄人</dc:creator>
  <cp:lastModifiedBy>ji.shuoren</cp:lastModifiedBy>
  <cp:lastPrinted>2025-10-24T00:36:00Z</cp:lastPrinted>
  <dcterms:modified xsi:type="dcterms:W3CDTF">2025-11-03T08:31:39Z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eyJoZGlkIjoiYTJjMDg3MGQzYWY4ZDZiNThmMjEzYzY4YTA5YWZmMTMiLCJ1c2VySWQiOiI0NDA0MjQ2MDgifQ==</vt:lpwstr>
  </property>
  <property fmtid="{D5CDD505-2E9C-101B-9397-08002B2CF9AE}" pid="3" name="KSOProductBuildVer">
    <vt:lpwstr>2052-11.8.2.12219</vt:lpwstr>
  </property>
  <property fmtid="{D5CDD505-2E9C-101B-9397-08002B2CF9AE}" pid="4" name="ICV">
    <vt:lpwstr>803CFB9954794EA79B7E387B506D6BFA_12</vt:lpwstr>
  </property>
</Properties>
</file>