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452" w:rsidRDefault="00353A98">
      <w:pPr>
        <w:spacing w:line="580" w:lineRule="exact"/>
        <w:jc w:val="left"/>
        <w:rPr>
          <w:rFonts w:ascii="Times New Roman" w:eastAsia="方正大标宋简体" w:hAnsi="Times New Roman"/>
          <w:sz w:val="42"/>
          <w:szCs w:val="42"/>
        </w:rPr>
      </w:pPr>
      <w:r>
        <w:rPr>
          <w:rFonts w:ascii="Times New Roman" w:eastAsia="方正大标宋简体" w:hAnsi="Times New Roman" w:hint="eastAsia"/>
          <w:bCs/>
          <w:kern w:val="44"/>
          <w:sz w:val="42"/>
          <w:szCs w:val="42"/>
        </w:rPr>
        <w:t>附件</w:t>
      </w:r>
      <w:r>
        <w:rPr>
          <w:rFonts w:ascii="Times New Roman" w:eastAsia="方正大标宋简体" w:hAnsi="Times New Roman" w:hint="eastAsia"/>
          <w:bCs/>
          <w:kern w:val="44"/>
          <w:sz w:val="42"/>
          <w:szCs w:val="42"/>
        </w:rPr>
        <w:t>2</w:t>
      </w:r>
    </w:p>
    <w:p w:rsidR="00753452" w:rsidRDefault="00753452">
      <w:pPr>
        <w:rPr>
          <w:rFonts w:ascii="Times New Roman" w:eastAsia="方正大标宋简体" w:hAnsi="Times New Roman"/>
          <w:color w:val="000000"/>
          <w:sz w:val="42"/>
          <w:szCs w:val="42"/>
        </w:rPr>
      </w:pPr>
    </w:p>
    <w:p w:rsidR="00753452" w:rsidRDefault="00753452">
      <w:pPr>
        <w:rPr>
          <w:rFonts w:ascii="Times New Roman" w:eastAsia="方正大标宋简体" w:hAnsi="Times New Roman"/>
          <w:color w:val="000000"/>
          <w:sz w:val="42"/>
          <w:szCs w:val="42"/>
        </w:rPr>
      </w:pPr>
    </w:p>
    <w:p w:rsidR="00753452" w:rsidRDefault="00753452">
      <w:pPr>
        <w:widowControl/>
        <w:jc w:val="center"/>
        <w:rPr>
          <w:rFonts w:ascii="黑体" w:eastAsia="黑体" w:hAnsi="宋体" w:cs="宋体"/>
          <w:bCs/>
          <w:kern w:val="0"/>
          <w:sz w:val="72"/>
          <w:szCs w:val="72"/>
        </w:rPr>
      </w:pPr>
    </w:p>
    <w:p w:rsidR="00753452" w:rsidRDefault="00353A98">
      <w:pPr>
        <w:widowControl/>
        <w:jc w:val="center"/>
        <w:rPr>
          <w:rFonts w:ascii="黑体" w:eastAsia="黑体" w:hAnsi="宋体" w:cs="宋体"/>
          <w:bCs/>
          <w:kern w:val="0"/>
          <w:sz w:val="72"/>
          <w:szCs w:val="72"/>
        </w:rPr>
      </w:pPr>
      <w:r>
        <w:rPr>
          <w:rFonts w:ascii="黑体" w:eastAsia="黑体" w:hAnsi="宋体" w:cs="宋体" w:hint="eastAsia"/>
          <w:bCs/>
          <w:kern w:val="0"/>
          <w:sz w:val="72"/>
          <w:szCs w:val="72"/>
        </w:rPr>
        <w:t>上海期货交易所</w:t>
      </w:r>
    </w:p>
    <w:p w:rsidR="00753452" w:rsidRDefault="00353A98">
      <w:pPr>
        <w:widowControl/>
        <w:jc w:val="center"/>
        <w:rPr>
          <w:rFonts w:ascii="黑体" w:eastAsia="黑体" w:hAnsi="宋体" w:cs="宋体"/>
          <w:bCs/>
          <w:kern w:val="0"/>
          <w:sz w:val="72"/>
          <w:szCs w:val="72"/>
        </w:rPr>
      </w:pPr>
      <w:r>
        <w:rPr>
          <w:rFonts w:ascii="黑体" w:eastAsia="黑体" w:hAnsi="宋体" w:cs="宋体" w:hint="eastAsia"/>
          <w:bCs/>
          <w:kern w:val="0"/>
          <w:sz w:val="72"/>
          <w:szCs w:val="72"/>
        </w:rPr>
        <w:t>做市商业务指南</w:t>
      </w:r>
    </w:p>
    <w:p w:rsidR="00753452" w:rsidRPr="00527EA5" w:rsidRDefault="00527EA5">
      <w:pPr>
        <w:widowControl/>
        <w:jc w:val="center"/>
        <w:rPr>
          <w:rFonts w:ascii="宋体" w:eastAsia="等线" w:hAnsi="宋体" w:cs="宋体"/>
          <w:b/>
          <w:kern w:val="0"/>
          <w:sz w:val="32"/>
          <w:szCs w:val="32"/>
        </w:rPr>
      </w:pPr>
      <w:r w:rsidRPr="00527EA5">
        <w:rPr>
          <w:rFonts w:ascii="宋体" w:eastAsia="等线" w:hAnsi="宋体" w:cs="宋体" w:hint="eastAsia"/>
          <w:b/>
          <w:kern w:val="0"/>
          <w:sz w:val="32"/>
          <w:szCs w:val="32"/>
        </w:rPr>
        <w:t>（修订案）</w:t>
      </w:r>
    </w:p>
    <w:p w:rsidR="00753452" w:rsidRDefault="00753452">
      <w:pPr>
        <w:widowControl/>
        <w:jc w:val="center"/>
        <w:rPr>
          <w:rFonts w:ascii="黑体" w:eastAsia="黑体" w:hAnsi="宋体" w:cs="宋体"/>
          <w:bCs/>
          <w:kern w:val="0"/>
          <w:sz w:val="48"/>
          <w:szCs w:val="72"/>
        </w:rPr>
      </w:pPr>
    </w:p>
    <w:p w:rsidR="00753452" w:rsidRDefault="00753452">
      <w:pPr>
        <w:widowControl/>
        <w:jc w:val="center"/>
        <w:rPr>
          <w:rFonts w:ascii="黑体" w:eastAsia="黑体" w:hAnsi="宋体" w:cs="宋体"/>
          <w:bCs/>
          <w:kern w:val="0"/>
          <w:sz w:val="40"/>
          <w:szCs w:val="72"/>
        </w:rPr>
      </w:pPr>
    </w:p>
    <w:p w:rsidR="00753452" w:rsidRDefault="00753452">
      <w:pPr>
        <w:widowControl/>
        <w:rPr>
          <w:rFonts w:ascii="宋体" w:eastAsia="等线" w:hAnsi="宋体"/>
          <w:b/>
          <w:sz w:val="72"/>
          <w:szCs w:val="72"/>
        </w:rPr>
      </w:pPr>
      <w:bookmarkStart w:id="0" w:name="_GoBack"/>
      <w:bookmarkEnd w:id="0"/>
    </w:p>
    <w:p w:rsidR="00753452" w:rsidRDefault="00753452">
      <w:pPr>
        <w:widowControl/>
        <w:rPr>
          <w:rFonts w:ascii="宋体" w:eastAsia="等线" w:hAnsi="宋体"/>
          <w:b/>
          <w:sz w:val="72"/>
          <w:szCs w:val="72"/>
        </w:rPr>
      </w:pPr>
    </w:p>
    <w:p w:rsidR="00753452" w:rsidRDefault="00753452">
      <w:pPr>
        <w:widowControl/>
        <w:rPr>
          <w:rFonts w:ascii="宋体" w:eastAsia="等线" w:hAnsi="宋体"/>
          <w:b/>
          <w:sz w:val="72"/>
          <w:szCs w:val="72"/>
        </w:rPr>
      </w:pPr>
    </w:p>
    <w:p w:rsidR="00753452" w:rsidRDefault="00353A98">
      <w:pPr>
        <w:widowControl/>
        <w:spacing w:line="408" w:lineRule="auto"/>
        <w:jc w:val="center"/>
        <w:rPr>
          <w:rFonts w:ascii="宋体" w:eastAsia="等线" w:hAnsi="宋体" w:cs="宋体"/>
          <w:b/>
          <w:kern w:val="0"/>
          <w:sz w:val="32"/>
          <w:szCs w:val="32"/>
        </w:rPr>
      </w:pPr>
      <w:r>
        <w:rPr>
          <w:rFonts w:ascii="宋体" w:eastAsia="等线" w:hAnsi="宋体" w:cs="宋体" w:hint="eastAsia"/>
          <w:b/>
          <w:kern w:val="0"/>
          <w:sz w:val="32"/>
          <w:szCs w:val="32"/>
        </w:rPr>
        <w:t>上海</w:t>
      </w:r>
      <w:r>
        <w:rPr>
          <w:rFonts w:ascii="宋体" w:eastAsia="等线" w:hAnsi="宋体" w:cs="宋体"/>
          <w:b/>
          <w:kern w:val="0"/>
          <w:sz w:val="32"/>
          <w:szCs w:val="32"/>
        </w:rPr>
        <w:t>期货</w:t>
      </w:r>
      <w:r>
        <w:rPr>
          <w:rFonts w:ascii="宋体" w:eastAsia="等线" w:hAnsi="宋体" w:cs="宋体" w:hint="eastAsia"/>
          <w:b/>
          <w:kern w:val="0"/>
          <w:sz w:val="32"/>
          <w:szCs w:val="32"/>
        </w:rPr>
        <w:t>交易所</w:t>
      </w:r>
    </w:p>
    <w:p w:rsidR="00753452" w:rsidRDefault="00353A98">
      <w:pPr>
        <w:widowControl/>
        <w:spacing w:line="408" w:lineRule="auto"/>
        <w:jc w:val="center"/>
        <w:rPr>
          <w:rFonts w:ascii="Times New Roman" w:eastAsia="等线" w:hAnsi="Times New Roman"/>
          <w:b/>
          <w:kern w:val="0"/>
          <w:sz w:val="32"/>
          <w:szCs w:val="32"/>
        </w:rPr>
      </w:pPr>
      <w:r>
        <w:rPr>
          <w:rFonts w:ascii="Times New Roman" w:eastAsia="等线" w:hAnsi="Times New Roman"/>
          <w:b/>
          <w:kern w:val="0"/>
          <w:sz w:val="32"/>
          <w:szCs w:val="32"/>
        </w:rPr>
        <w:t>2026</w:t>
      </w:r>
      <w:r>
        <w:rPr>
          <w:rFonts w:ascii="Times New Roman" w:eastAsia="等线" w:hAnsi="Times New Roman"/>
          <w:b/>
          <w:kern w:val="0"/>
          <w:sz w:val="32"/>
          <w:szCs w:val="32"/>
        </w:rPr>
        <w:t>年</w:t>
      </w:r>
      <w:r>
        <w:rPr>
          <w:rFonts w:ascii="Times New Roman" w:eastAsia="等线" w:hAnsi="Times New Roman"/>
          <w:b/>
          <w:kern w:val="0"/>
          <w:sz w:val="32"/>
          <w:szCs w:val="32"/>
        </w:rPr>
        <w:t>9</w:t>
      </w:r>
      <w:r>
        <w:rPr>
          <w:rFonts w:ascii="Times New Roman" w:eastAsia="等线" w:hAnsi="Times New Roman"/>
          <w:b/>
          <w:kern w:val="0"/>
          <w:sz w:val="32"/>
          <w:szCs w:val="32"/>
        </w:rPr>
        <w:t>月</w:t>
      </w:r>
    </w:p>
    <w:p w:rsidR="00753452" w:rsidRDefault="00753452">
      <w:pPr>
        <w:spacing w:line="240" w:lineRule="atLeast"/>
        <w:jc w:val="center"/>
        <w:rPr>
          <w:rFonts w:ascii="仿宋" w:eastAsia="仿宋" w:hAnsi="仿宋"/>
          <w:b/>
          <w:sz w:val="36"/>
          <w:szCs w:val="28"/>
        </w:rPr>
      </w:pPr>
    </w:p>
    <w:p w:rsidR="00753452" w:rsidRDefault="00753452">
      <w:pPr>
        <w:widowControl/>
        <w:jc w:val="left"/>
        <w:rPr>
          <w:rFonts w:ascii="仿宋" w:eastAsia="仿宋" w:hAnsi="仿宋"/>
          <w:b/>
          <w:sz w:val="36"/>
          <w:szCs w:val="28"/>
        </w:rPr>
      </w:pPr>
    </w:p>
    <w:p w:rsidR="00753452" w:rsidRDefault="00753452">
      <w:pPr>
        <w:widowControl/>
        <w:jc w:val="left"/>
        <w:rPr>
          <w:rFonts w:ascii="仿宋" w:eastAsia="仿宋" w:hAnsi="仿宋"/>
          <w:b/>
          <w:sz w:val="36"/>
          <w:szCs w:val="28"/>
        </w:rPr>
      </w:pPr>
    </w:p>
    <w:p w:rsidR="000C0E5C" w:rsidRDefault="000C0E5C">
      <w:pPr>
        <w:keepNext/>
        <w:keepLines/>
        <w:spacing w:line="360" w:lineRule="auto"/>
        <w:ind w:firstLineChars="200" w:firstLine="600"/>
        <w:jc w:val="center"/>
        <w:outlineLvl w:val="0"/>
        <w:rPr>
          <w:rFonts w:ascii="黑体" w:eastAsia="方正黑体简体" w:hAnsi="黑体" w:cs="宋体"/>
          <w:kern w:val="44"/>
          <w:sz w:val="30"/>
          <w:szCs w:val="20"/>
        </w:rPr>
      </w:pPr>
      <w:bookmarkStart w:id="1" w:name="_Toc159596029"/>
    </w:p>
    <w:p w:rsidR="00753452" w:rsidRDefault="00353A98" w:rsidP="000C0E5C">
      <w:pPr>
        <w:keepNext/>
        <w:keepLines/>
        <w:spacing w:line="360" w:lineRule="auto"/>
        <w:ind w:firstLineChars="200" w:firstLine="600"/>
        <w:jc w:val="center"/>
        <w:outlineLvl w:val="0"/>
        <w:rPr>
          <w:rFonts w:ascii="黑体" w:eastAsia="方正黑体简体" w:hAnsi="黑体" w:cs="宋体"/>
          <w:kern w:val="44"/>
          <w:sz w:val="30"/>
          <w:szCs w:val="20"/>
        </w:rPr>
      </w:pPr>
      <w:r>
        <w:rPr>
          <w:rFonts w:ascii="黑体" w:eastAsia="方正黑体简体" w:hAnsi="黑体" w:cs="宋体" w:hint="eastAsia"/>
          <w:kern w:val="44"/>
          <w:sz w:val="30"/>
          <w:szCs w:val="20"/>
        </w:rPr>
        <w:t>声</w:t>
      </w:r>
      <w:r>
        <w:rPr>
          <w:rFonts w:ascii="黑体" w:eastAsia="方正黑体简体" w:hAnsi="黑体" w:cs="宋体" w:hint="eastAsia"/>
          <w:kern w:val="44"/>
          <w:sz w:val="30"/>
          <w:szCs w:val="20"/>
        </w:rPr>
        <w:t xml:space="preserve">  </w:t>
      </w:r>
      <w:r>
        <w:rPr>
          <w:rFonts w:ascii="黑体" w:eastAsia="方正黑体简体" w:hAnsi="黑体" w:cs="宋体" w:hint="eastAsia"/>
          <w:kern w:val="44"/>
          <w:sz w:val="30"/>
          <w:szCs w:val="20"/>
        </w:rPr>
        <w:t>明</w:t>
      </w:r>
      <w:bookmarkEnd w:id="1"/>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为规范上海期货</w:t>
      </w:r>
      <w:r>
        <w:rPr>
          <w:rFonts w:ascii="Times New Roman" w:eastAsia="方正仿宋简体" w:hAnsi="Times New Roman"/>
          <w:sz w:val="30"/>
          <w:szCs w:val="30"/>
        </w:rPr>
        <w:t>交易所</w:t>
      </w:r>
      <w:r>
        <w:rPr>
          <w:rFonts w:ascii="Times New Roman" w:eastAsia="方正仿宋简体" w:hAnsi="Times New Roman" w:hint="eastAsia"/>
          <w:sz w:val="30"/>
          <w:szCs w:val="30"/>
        </w:rPr>
        <w:t>（以下简称交易所）做市商</w:t>
      </w:r>
      <w:r>
        <w:rPr>
          <w:rFonts w:ascii="Times New Roman" w:eastAsia="方正仿宋简体" w:hAnsi="Times New Roman"/>
          <w:sz w:val="30"/>
          <w:szCs w:val="30"/>
        </w:rPr>
        <w:t>管理</w:t>
      </w:r>
      <w:r>
        <w:rPr>
          <w:rFonts w:ascii="Times New Roman" w:eastAsia="方正仿宋简体" w:hAnsi="Times New Roman" w:hint="eastAsia"/>
          <w:sz w:val="30"/>
          <w:szCs w:val="30"/>
        </w:rPr>
        <w:t>，根据《上海期货交易所交易规则》《上海期货交易所做市商管理办法》等规则制定本指南。本指南主要内容包括做市商的总体要求、资格</w:t>
      </w:r>
      <w:r>
        <w:rPr>
          <w:rFonts w:ascii="Times New Roman" w:eastAsia="方正仿宋简体" w:hAnsi="Times New Roman"/>
          <w:sz w:val="30"/>
          <w:szCs w:val="30"/>
        </w:rPr>
        <w:t>管理、</w:t>
      </w:r>
      <w:r>
        <w:rPr>
          <w:rFonts w:ascii="Times New Roman" w:eastAsia="方正仿宋简体" w:hAnsi="Times New Roman" w:hint="eastAsia"/>
          <w:sz w:val="30"/>
          <w:szCs w:val="30"/>
        </w:rPr>
        <w:t>业务申请与受理、义务和权利、评价考核、合规风控、技术系统、监督管理等方面。交易所将根据业务规则变化和市场情况，对本指南进行持续更新和调整。本指南如有</w:t>
      </w:r>
      <w:r>
        <w:rPr>
          <w:rFonts w:ascii="Times New Roman" w:eastAsia="方正仿宋简体" w:hAnsi="Times New Roman"/>
          <w:sz w:val="30"/>
          <w:szCs w:val="30"/>
        </w:rPr>
        <w:t>内容</w:t>
      </w:r>
      <w:r>
        <w:rPr>
          <w:rFonts w:ascii="Times New Roman" w:eastAsia="方正仿宋简体" w:hAnsi="Times New Roman" w:hint="eastAsia"/>
          <w:sz w:val="30"/>
          <w:szCs w:val="30"/>
        </w:rPr>
        <w:t>与交易所</w:t>
      </w:r>
      <w:r>
        <w:rPr>
          <w:rFonts w:ascii="Times New Roman" w:eastAsia="方正仿宋简体" w:hAnsi="Times New Roman"/>
          <w:sz w:val="30"/>
          <w:szCs w:val="30"/>
        </w:rPr>
        <w:t>相关业务规则</w:t>
      </w:r>
      <w:r>
        <w:rPr>
          <w:rFonts w:ascii="Times New Roman" w:eastAsia="方正仿宋简体" w:hAnsi="Times New Roman" w:hint="eastAsia"/>
          <w:sz w:val="30"/>
          <w:szCs w:val="30"/>
        </w:rPr>
        <w:t>不一致，</w:t>
      </w:r>
      <w:r>
        <w:rPr>
          <w:rFonts w:ascii="Times New Roman" w:eastAsia="方正仿宋简体" w:hAnsi="Times New Roman"/>
          <w:sz w:val="30"/>
          <w:szCs w:val="30"/>
        </w:rPr>
        <w:t>以</w:t>
      </w:r>
      <w:r>
        <w:rPr>
          <w:rFonts w:ascii="Times New Roman" w:eastAsia="方正仿宋简体" w:hAnsi="Times New Roman" w:hint="eastAsia"/>
          <w:sz w:val="30"/>
          <w:szCs w:val="30"/>
        </w:rPr>
        <w:t>相关业务</w:t>
      </w:r>
      <w:r>
        <w:rPr>
          <w:rFonts w:ascii="Times New Roman" w:eastAsia="方正仿宋简体" w:hAnsi="Times New Roman"/>
          <w:sz w:val="30"/>
          <w:szCs w:val="30"/>
        </w:rPr>
        <w:t>规则</w:t>
      </w:r>
      <w:r>
        <w:rPr>
          <w:rFonts w:ascii="Times New Roman" w:eastAsia="方正仿宋简体" w:hAnsi="Times New Roman" w:hint="eastAsia"/>
          <w:sz w:val="30"/>
          <w:szCs w:val="30"/>
        </w:rPr>
        <w:t>为准。做市商的权利义务、评价考核等相关要求，以《上海期货交易所做市商管理办法》及做市商与交易所签订的协议为准。</w:t>
      </w:r>
    </w:p>
    <w:p w:rsidR="00753452" w:rsidRDefault="00753452">
      <w:pPr>
        <w:widowControl/>
        <w:jc w:val="left"/>
        <w:rPr>
          <w:rFonts w:ascii="仿宋" w:eastAsia="仿宋" w:hAnsi="仿宋"/>
          <w:b/>
          <w:sz w:val="36"/>
          <w:szCs w:val="28"/>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2" w:name="_Toc452022969"/>
      <w:bookmarkStart w:id="3" w:name="_Toc159596030"/>
      <w:r>
        <w:rPr>
          <w:rFonts w:ascii="黑体" w:eastAsia="方正黑体简体" w:hAnsi="黑体" w:hint="eastAsia"/>
          <w:kern w:val="44"/>
          <w:sz w:val="30"/>
          <w:szCs w:val="32"/>
        </w:rPr>
        <w:t>第一章</w:t>
      </w:r>
      <w:r>
        <w:rPr>
          <w:rFonts w:ascii="黑体" w:eastAsia="方正黑体简体" w:hAnsi="黑体" w:hint="eastAsia"/>
          <w:kern w:val="44"/>
          <w:sz w:val="30"/>
          <w:szCs w:val="32"/>
        </w:rPr>
        <w:t xml:space="preserve">  </w:t>
      </w:r>
      <w:bookmarkEnd w:id="2"/>
      <w:r>
        <w:rPr>
          <w:rFonts w:ascii="黑体" w:eastAsia="方正黑体简体" w:hAnsi="黑体" w:hint="eastAsia"/>
          <w:kern w:val="44"/>
          <w:sz w:val="30"/>
          <w:szCs w:val="32"/>
        </w:rPr>
        <w:t>总体要求</w:t>
      </w:r>
      <w:bookmarkEnd w:id="3"/>
    </w:p>
    <w:p w:rsidR="00753452" w:rsidRDefault="00353A98">
      <w:pPr>
        <w:spacing w:line="560" w:lineRule="exact"/>
        <w:ind w:firstLineChars="200" w:firstLine="602"/>
        <w:outlineLvl w:val="1"/>
        <w:rPr>
          <w:rFonts w:ascii="楷体" w:eastAsia="方正楷体简体" w:hAnsi="楷体" w:cs="宋体"/>
          <w:b/>
          <w:bCs/>
          <w:sz w:val="30"/>
          <w:szCs w:val="20"/>
        </w:rPr>
      </w:pPr>
      <w:bookmarkStart w:id="4" w:name="_Toc159596031"/>
      <w:r>
        <w:rPr>
          <w:rFonts w:ascii="楷体" w:eastAsia="方正楷体简体" w:hAnsi="楷体" w:cs="宋体" w:hint="eastAsia"/>
          <w:b/>
          <w:bCs/>
          <w:sz w:val="30"/>
          <w:szCs w:val="20"/>
        </w:rPr>
        <w:t>一、概述</w:t>
      </w:r>
      <w:bookmarkEnd w:id="4"/>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交易所可以在指定品种上引入做市商，并向市场公布。</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做市商是指经交易所认可，为指定品种的期货、期权合约提供双边报价等服务的法人或者非法人组织。</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做市商双边报价分为下列类型：</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（一）持续报价。在交易时间内，做市商按协议约定，主动提供的持续性双边报价；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（二）回应报价。在交易时间内，做市商按协议约定，对收到询价请求的合约，进行的双边报价。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做市商的报价内容包括合约代码、买入价、卖出价和双边报价数量。</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5" w:name="_Toc159596032"/>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组织</w:t>
      </w:r>
      <w:r>
        <w:rPr>
          <w:rFonts w:ascii="楷体" w:eastAsia="方正楷体简体" w:hAnsi="楷体" w:cs="宋体"/>
          <w:b/>
          <w:bCs/>
          <w:sz w:val="30"/>
          <w:szCs w:val="20"/>
        </w:rPr>
        <w:t>架构和</w:t>
      </w:r>
      <w:r>
        <w:rPr>
          <w:rFonts w:ascii="楷体" w:eastAsia="方正楷体简体" w:hAnsi="楷体" w:cs="宋体" w:hint="eastAsia"/>
          <w:b/>
          <w:bCs/>
          <w:sz w:val="30"/>
          <w:szCs w:val="20"/>
        </w:rPr>
        <w:t>岗位</w:t>
      </w:r>
      <w:r>
        <w:rPr>
          <w:rFonts w:ascii="楷体" w:eastAsia="方正楷体简体" w:hAnsi="楷体" w:cs="宋体"/>
          <w:b/>
          <w:bCs/>
          <w:sz w:val="30"/>
          <w:szCs w:val="20"/>
        </w:rPr>
        <w:t>设置</w:t>
      </w:r>
      <w:bookmarkEnd w:id="5"/>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做市商应当具有专门机构和人员负责做市业务，做市</w:t>
      </w:r>
      <w:r>
        <w:rPr>
          <w:rFonts w:ascii="Times New Roman" w:eastAsia="方正仿宋简体" w:hAnsi="Times New Roman"/>
          <w:sz w:val="30"/>
          <w:szCs w:val="30"/>
        </w:rPr>
        <w:t>业务</w:t>
      </w:r>
      <w:r>
        <w:rPr>
          <w:rFonts w:ascii="Times New Roman" w:eastAsia="方正仿宋简体" w:hAnsi="Times New Roman" w:hint="eastAsia"/>
          <w:sz w:val="30"/>
          <w:szCs w:val="30"/>
        </w:rPr>
        <w:t>应当与</w:t>
      </w:r>
      <w:r>
        <w:rPr>
          <w:rFonts w:ascii="Times New Roman" w:eastAsia="方正仿宋简体" w:hAnsi="Times New Roman"/>
          <w:sz w:val="30"/>
          <w:szCs w:val="30"/>
        </w:rPr>
        <w:t>其他</w:t>
      </w:r>
      <w:r>
        <w:rPr>
          <w:rFonts w:ascii="Times New Roman" w:eastAsia="方正仿宋简体" w:hAnsi="Times New Roman" w:hint="eastAsia"/>
          <w:sz w:val="30"/>
          <w:szCs w:val="30"/>
        </w:rPr>
        <w:t>业务进行有效</w:t>
      </w:r>
      <w:r>
        <w:rPr>
          <w:rFonts w:ascii="Times New Roman" w:eastAsia="方正仿宋简体" w:hAnsi="Times New Roman"/>
          <w:sz w:val="30"/>
          <w:szCs w:val="30"/>
        </w:rPr>
        <w:t>隔离</w:t>
      </w:r>
      <w:r>
        <w:rPr>
          <w:rFonts w:ascii="Times New Roman" w:eastAsia="方正仿宋简体" w:hAnsi="Times New Roman" w:hint="eastAsia"/>
          <w:sz w:val="30"/>
          <w:szCs w:val="30"/>
        </w:rPr>
        <w:t>，防范</w:t>
      </w:r>
      <w:r>
        <w:rPr>
          <w:rFonts w:ascii="Times New Roman" w:eastAsia="方正仿宋简体" w:hAnsi="Times New Roman"/>
          <w:sz w:val="30"/>
          <w:szCs w:val="30"/>
        </w:rPr>
        <w:t>利益冲突</w:t>
      </w:r>
      <w:r>
        <w:rPr>
          <w:rFonts w:ascii="Times New Roman" w:eastAsia="方正仿宋简体" w:hAnsi="Times New Roman" w:hint="eastAsia"/>
          <w:sz w:val="30"/>
          <w:szCs w:val="30"/>
        </w:rPr>
        <w:t>。做市商不得将做市业务以任何形式外包、委托、分包或转包第三方代为履行，或与第三方以合作、合资以及约定成交等方式共同或者分别履行。做市人员应当熟悉期货、期权相关法律法规和交易所业务规则。做市商从事做市业务的负责人及主要相关人员应当在中国境内从事做市业务。</w:t>
      </w:r>
    </w:p>
    <w:p w:rsidR="00753452" w:rsidRDefault="00353A98">
      <w:pPr>
        <w:spacing w:line="560" w:lineRule="exact"/>
        <w:ind w:firstLineChars="200" w:firstLine="600"/>
        <w:rPr>
          <w:rFonts w:ascii="楷体" w:eastAsia="方正楷体简体" w:hAnsi="楷体"/>
          <w:sz w:val="30"/>
          <w:szCs w:val="32"/>
        </w:rPr>
      </w:pPr>
      <w:r>
        <w:rPr>
          <w:rFonts w:ascii="Times New Roman" w:eastAsia="方正仿宋简体" w:hAnsi="Times New Roman" w:hint="eastAsia"/>
          <w:sz w:val="30"/>
          <w:szCs w:val="30"/>
        </w:rPr>
        <w:t>做市商开展做市业务应当有做市业务负责人，并至少需设立交易岗、风险控制岗、技术运维岗等岗位。</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6" w:name="_Toc159596033"/>
      <w:r>
        <w:rPr>
          <w:rFonts w:ascii="楷体" w:eastAsia="方正楷体简体" w:hAnsi="楷体" w:cs="宋体" w:hint="eastAsia"/>
          <w:b/>
          <w:bCs/>
          <w:sz w:val="30"/>
          <w:szCs w:val="20"/>
        </w:rPr>
        <w:t>三、制度</w:t>
      </w:r>
      <w:r>
        <w:rPr>
          <w:rFonts w:ascii="楷体" w:eastAsia="方正楷体简体" w:hAnsi="楷体" w:cs="宋体"/>
          <w:b/>
          <w:bCs/>
          <w:sz w:val="30"/>
          <w:szCs w:val="20"/>
        </w:rPr>
        <w:t>与流程</w:t>
      </w:r>
      <w:bookmarkEnd w:id="6"/>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做市商应当严格遵守法律、法规、规章和交易所业务规则。</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做市商应当制定健全的做市业务实施方案，确保做市业务规范开展。做市业务实施方案内容包括但不限于做市业务总体规划、做市策略、做市交易</w:t>
      </w:r>
      <w:r>
        <w:rPr>
          <w:rFonts w:ascii="Times New Roman" w:eastAsia="方正仿宋简体" w:hAnsi="Times New Roman"/>
          <w:sz w:val="30"/>
          <w:szCs w:val="30"/>
        </w:rPr>
        <w:t>技术</w:t>
      </w:r>
      <w:r>
        <w:rPr>
          <w:rFonts w:ascii="Times New Roman" w:eastAsia="方正仿宋简体" w:hAnsi="Times New Roman" w:hint="eastAsia"/>
          <w:sz w:val="30"/>
          <w:szCs w:val="30"/>
        </w:rPr>
        <w:t>系统建设、报价义务管理等。</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严格的内部控制和风险管理制度，规范各项业务操作流程，确保做市业务风险可控、依法合规。内部控制制度内容包括但不限于业务运行管理、合规与内部控制、监督管理、额度管理、责任人及其职责管理；风险管理制度内容包括但不限于公司层面与做市部门层面风控的独立性、资金管理、市场风险管理、交割风险管理、操作风险管理、模型风险管理、流动性风险管理、技术风险管理、预警设置等。</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做市业务应急处理机制，妥善应对做市业务中的突发情况或异常事件，保障做市业务平稳开展。此机制内容包括但不限于突发事件情形、预警与响应机制、应急处理措施与流程、报告机制及事后管理等。</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7" w:name="_Toc159596034"/>
      <w:r>
        <w:rPr>
          <w:rFonts w:ascii="楷体" w:eastAsia="方正楷体简体" w:hAnsi="楷体" w:cs="宋体" w:hint="eastAsia"/>
          <w:b/>
          <w:bCs/>
          <w:sz w:val="30"/>
          <w:szCs w:val="20"/>
        </w:rPr>
        <w:t>四</w:t>
      </w:r>
      <w:r>
        <w:rPr>
          <w:rFonts w:ascii="楷体" w:eastAsia="方正楷体简体" w:hAnsi="楷体" w:cs="宋体"/>
          <w:b/>
          <w:bCs/>
          <w:sz w:val="30"/>
          <w:szCs w:val="20"/>
        </w:rPr>
        <w:t>、</w:t>
      </w:r>
      <w:r>
        <w:rPr>
          <w:rFonts w:ascii="楷体" w:eastAsia="方正楷体简体" w:hAnsi="楷体" w:cs="宋体" w:hint="eastAsia"/>
          <w:b/>
          <w:bCs/>
          <w:sz w:val="30"/>
          <w:szCs w:val="20"/>
        </w:rPr>
        <w:t>做市资金</w:t>
      </w:r>
      <w:bookmarkEnd w:id="7"/>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做市商净资产应不低于人民币</w:t>
      </w:r>
      <w:r>
        <w:rPr>
          <w:rFonts w:ascii="Times New Roman" w:eastAsia="方正仿宋简体" w:hAnsi="Times New Roman" w:hint="eastAsia"/>
          <w:sz w:val="30"/>
          <w:szCs w:val="30"/>
        </w:rPr>
        <w:t>5000</w:t>
      </w:r>
      <w:r>
        <w:rPr>
          <w:rFonts w:ascii="Times New Roman" w:eastAsia="方正仿宋简体" w:hAnsi="Times New Roman" w:hint="eastAsia"/>
          <w:sz w:val="30"/>
          <w:szCs w:val="30"/>
        </w:rPr>
        <w:t>万元。做市商应当使用自有资金进行做市，不得以发售基金、理财、信托、资管产品等方式募集的资金或者违法违规资金开展做市业务。</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8" w:name="_Toc159596035"/>
      <w:r>
        <w:rPr>
          <w:rFonts w:ascii="楷体" w:eastAsia="方正楷体简体" w:hAnsi="楷体" w:cs="宋体" w:hint="eastAsia"/>
          <w:b/>
          <w:bCs/>
          <w:sz w:val="30"/>
          <w:szCs w:val="20"/>
        </w:rPr>
        <w:t>五</w:t>
      </w:r>
      <w:r>
        <w:rPr>
          <w:rFonts w:ascii="楷体" w:eastAsia="方正楷体简体" w:hAnsi="楷体" w:cs="宋体"/>
          <w:b/>
          <w:bCs/>
          <w:sz w:val="30"/>
          <w:szCs w:val="20"/>
        </w:rPr>
        <w:t>、</w:t>
      </w:r>
      <w:r>
        <w:rPr>
          <w:rFonts w:ascii="楷体" w:eastAsia="方正楷体简体" w:hAnsi="楷体" w:cs="宋体" w:hint="eastAsia"/>
          <w:b/>
          <w:bCs/>
          <w:sz w:val="30"/>
          <w:szCs w:val="20"/>
        </w:rPr>
        <w:t>技术系统</w:t>
      </w:r>
      <w:bookmarkEnd w:id="8"/>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备稳定、可靠的做市业务技术系统，建立健全信息技术管理制度、信息系统报备制度及应急机制，并按照交易所要求参与相关测试及应急演练工作。做市业务技术系统应当具备行情、交易、风控、资金和持仓管理以及应急处置、做市义务统计等基本功能。</w:t>
      </w:r>
    </w:p>
    <w:p w:rsidR="00753452" w:rsidRDefault="00753452">
      <w:pPr>
        <w:spacing w:line="560" w:lineRule="exact"/>
        <w:ind w:firstLineChars="200" w:firstLine="600"/>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9" w:name="_Toc159596036"/>
      <w:r>
        <w:rPr>
          <w:rFonts w:ascii="黑体" w:eastAsia="方正黑体简体" w:hAnsi="黑体" w:hint="eastAsia"/>
          <w:kern w:val="44"/>
          <w:sz w:val="30"/>
          <w:szCs w:val="32"/>
        </w:rPr>
        <w:t>第二章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资格管理</w:t>
      </w:r>
      <w:bookmarkEnd w:id="9"/>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交易所可以在</w:t>
      </w:r>
      <w:r>
        <w:rPr>
          <w:rFonts w:ascii="Times New Roman" w:eastAsia="方正仿宋简体" w:hAnsi="Times New Roman"/>
          <w:sz w:val="30"/>
          <w:szCs w:val="30"/>
        </w:rPr>
        <w:t>指定品种上</w:t>
      </w:r>
      <w:r>
        <w:rPr>
          <w:rFonts w:ascii="Times New Roman" w:eastAsia="方正仿宋简体" w:hAnsi="Times New Roman" w:hint="eastAsia"/>
          <w:sz w:val="30"/>
          <w:szCs w:val="30"/>
        </w:rPr>
        <w:t>引入</w:t>
      </w:r>
      <w:r>
        <w:rPr>
          <w:rFonts w:ascii="Times New Roman" w:eastAsia="方正仿宋简体" w:hAnsi="Times New Roman"/>
          <w:sz w:val="30"/>
          <w:szCs w:val="30"/>
        </w:rPr>
        <w:t>做市商</w:t>
      </w:r>
      <w:r>
        <w:rPr>
          <w:rFonts w:ascii="Times New Roman" w:eastAsia="方正仿宋简体" w:hAnsi="Times New Roman" w:hint="eastAsia"/>
          <w:sz w:val="30"/>
          <w:szCs w:val="30"/>
        </w:rPr>
        <w:t>，并可以根据市场发展情况对做市商数量和结构进行调整。做市商资格以与交易所签订做市商协议为准。</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10" w:name="_Toc159596037"/>
      <w:r>
        <w:rPr>
          <w:rFonts w:ascii="楷体" w:eastAsia="方正楷体简体" w:hAnsi="楷体" w:cs="宋体" w:hint="eastAsia"/>
          <w:b/>
          <w:bCs/>
          <w:sz w:val="30"/>
          <w:szCs w:val="20"/>
        </w:rPr>
        <w:t>一、做市商资格</w:t>
      </w:r>
      <w:r>
        <w:rPr>
          <w:rFonts w:ascii="楷体" w:eastAsia="方正楷体简体" w:hAnsi="楷体" w:cs="宋体"/>
          <w:b/>
          <w:bCs/>
          <w:sz w:val="30"/>
          <w:szCs w:val="20"/>
        </w:rPr>
        <w:t>条件</w:t>
      </w:r>
      <w:bookmarkEnd w:id="10"/>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申请做市商资格，应当具备下列条件：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（一）净资产不低于人民币</w:t>
      </w:r>
      <w:r>
        <w:rPr>
          <w:rFonts w:ascii="Times New Roman" w:eastAsia="方正仿宋简体" w:hAnsi="Times New Roman" w:hint="eastAsia"/>
          <w:sz w:val="30"/>
          <w:szCs w:val="30"/>
        </w:rPr>
        <w:t>5000</w:t>
      </w:r>
      <w:r>
        <w:rPr>
          <w:rFonts w:ascii="Times New Roman" w:eastAsia="方正仿宋简体" w:hAnsi="Times New Roman" w:hint="eastAsia"/>
          <w:sz w:val="30"/>
          <w:szCs w:val="30"/>
        </w:rPr>
        <w:t>万元或等值外币；</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（二）具有专门机构和人员负责做市交易，做市人员应当熟悉相关法律法规和交易所业务规则；</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（三）具有健全的做市交易实施方案、内部控制制度和风险管理制度；</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（四）最近三年无重大违法违规记录；</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（五）具备稳定、可靠的做市交易技术系统；</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（六）应当具有交易所认可的交易、做市或者仿真交易做市的经历；</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（七）交易所规定的其他条件。</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11" w:name="_Toc159596039"/>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做市商评审</w:t>
      </w:r>
      <w:bookmarkEnd w:id="11"/>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交易所做市商评审程序主要包括收集</w:t>
      </w:r>
      <w:r>
        <w:rPr>
          <w:rFonts w:ascii="Times New Roman" w:eastAsia="方正仿宋简体" w:hAnsi="Times New Roman"/>
          <w:sz w:val="30"/>
          <w:szCs w:val="30"/>
        </w:rPr>
        <w:t>申请材料</w:t>
      </w:r>
      <w:r>
        <w:rPr>
          <w:rFonts w:ascii="Times New Roman" w:eastAsia="方正仿宋简体" w:hAnsi="Times New Roman" w:hint="eastAsia"/>
          <w:sz w:val="30"/>
          <w:szCs w:val="30"/>
        </w:rPr>
        <w:t>、材料初审、综合评定等环节，</w:t>
      </w:r>
      <w:r>
        <w:rPr>
          <w:rFonts w:ascii="Times New Roman" w:eastAsia="方正仿宋简体" w:hAnsi="Times New Roman"/>
          <w:sz w:val="30"/>
          <w:szCs w:val="30"/>
        </w:rPr>
        <w:t>交易所根据申请</w:t>
      </w:r>
      <w:r>
        <w:rPr>
          <w:rFonts w:ascii="Times New Roman" w:eastAsia="方正仿宋简体" w:hAnsi="Times New Roman" w:hint="eastAsia"/>
          <w:sz w:val="30"/>
          <w:szCs w:val="30"/>
        </w:rPr>
        <w:t>机构</w:t>
      </w:r>
      <w:r>
        <w:rPr>
          <w:rFonts w:ascii="Times New Roman" w:eastAsia="方正仿宋简体" w:hAnsi="Times New Roman"/>
          <w:sz w:val="30"/>
          <w:szCs w:val="30"/>
        </w:rPr>
        <w:t>综合情况</w:t>
      </w:r>
      <w:r>
        <w:rPr>
          <w:rFonts w:ascii="Times New Roman" w:eastAsia="方正仿宋简体" w:hAnsi="Times New Roman" w:hint="eastAsia"/>
          <w:sz w:val="30"/>
          <w:szCs w:val="30"/>
        </w:rPr>
        <w:t>遴选</w:t>
      </w:r>
      <w:r>
        <w:rPr>
          <w:rFonts w:ascii="Times New Roman" w:eastAsia="方正仿宋简体" w:hAnsi="Times New Roman"/>
          <w:sz w:val="30"/>
          <w:szCs w:val="30"/>
        </w:rPr>
        <w:t>出</w:t>
      </w:r>
      <w:r>
        <w:rPr>
          <w:rFonts w:ascii="Times New Roman" w:eastAsia="方正仿宋简体" w:hAnsi="Times New Roman" w:hint="eastAsia"/>
          <w:sz w:val="30"/>
          <w:szCs w:val="30"/>
        </w:rPr>
        <w:t>指定</w:t>
      </w:r>
      <w:r>
        <w:rPr>
          <w:rFonts w:ascii="Times New Roman" w:eastAsia="方正仿宋简体" w:hAnsi="Times New Roman"/>
          <w:sz w:val="30"/>
          <w:szCs w:val="30"/>
        </w:rPr>
        <w:t>数量的</w:t>
      </w:r>
      <w:r>
        <w:rPr>
          <w:rFonts w:ascii="Times New Roman" w:eastAsia="方正仿宋简体" w:hAnsi="Times New Roman" w:hint="eastAsia"/>
          <w:sz w:val="30"/>
          <w:szCs w:val="30"/>
        </w:rPr>
        <w:t>做市商。</w:t>
      </w:r>
      <w:r>
        <w:rPr>
          <w:rFonts w:ascii="Times New Roman" w:eastAsia="方正仿宋简体" w:hAnsi="Times New Roman"/>
          <w:sz w:val="30"/>
          <w:szCs w:val="30"/>
        </w:rPr>
        <w:t>遴</w:t>
      </w:r>
      <w:r>
        <w:rPr>
          <w:rFonts w:ascii="Times New Roman" w:eastAsia="方正仿宋简体" w:hAnsi="Times New Roman" w:hint="eastAsia"/>
          <w:sz w:val="30"/>
          <w:szCs w:val="30"/>
        </w:rPr>
        <w:t>选出的申请机构在规定</w:t>
      </w:r>
      <w:r>
        <w:rPr>
          <w:rFonts w:ascii="Times New Roman" w:eastAsia="方正仿宋简体" w:hAnsi="Times New Roman"/>
          <w:sz w:val="30"/>
          <w:szCs w:val="30"/>
        </w:rPr>
        <w:t>时间内</w:t>
      </w:r>
      <w:r>
        <w:rPr>
          <w:rFonts w:ascii="Times New Roman" w:eastAsia="方正仿宋简体" w:hAnsi="Times New Roman" w:hint="eastAsia"/>
          <w:sz w:val="30"/>
          <w:szCs w:val="30"/>
        </w:rPr>
        <w:t>与交易所签订做市商协议后，取得相应品种做市商资格，逾期未签订协议的，不能</w:t>
      </w:r>
      <w:r>
        <w:rPr>
          <w:rFonts w:ascii="Times New Roman" w:eastAsia="方正仿宋简体" w:hAnsi="Times New Roman"/>
          <w:sz w:val="30"/>
          <w:szCs w:val="30"/>
        </w:rPr>
        <w:t>取得</w:t>
      </w:r>
      <w:r>
        <w:rPr>
          <w:rFonts w:ascii="Times New Roman" w:eastAsia="方正仿宋简体" w:hAnsi="Times New Roman" w:hint="eastAsia"/>
          <w:sz w:val="30"/>
          <w:szCs w:val="30"/>
        </w:rPr>
        <w:t>相应</w:t>
      </w:r>
      <w:r>
        <w:rPr>
          <w:rFonts w:ascii="Times New Roman" w:eastAsia="方正仿宋简体" w:hAnsi="Times New Roman"/>
          <w:sz w:val="30"/>
          <w:szCs w:val="30"/>
        </w:rPr>
        <w:t>品种</w:t>
      </w:r>
      <w:r>
        <w:rPr>
          <w:rFonts w:ascii="Times New Roman" w:eastAsia="方正仿宋简体" w:hAnsi="Times New Roman" w:hint="eastAsia"/>
          <w:sz w:val="30"/>
          <w:szCs w:val="30"/>
        </w:rPr>
        <w:t>做市商资格。</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12" w:name="_Toc159596040"/>
      <w:r>
        <w:rPr>
          <w:rFonts w:ascii="楷体" w:eastAsia="方正楷体简体" w:hAnsi="楷体" w:cs="宋体" w:hint="eastAsia"/>
          <w:b/>
          <w:bCs/>
          <w:sz w:val="30"/>
          <w:szCs w:val="20"/>
        </w:rPr>
        <w:t>三</w:t>
      </w:r>
      <w:r>
        <w:rPr>
          <w:rFonts w:ascii="楷体" w:eastAsia="方正楷体简体" w:hAnsi="楷体" w:cs="宋体"/>
          <w:b/>
          <w:bCs/>
          <w:sz w:val="30"/>
          <w:szCs w:val="20"/>
        </w:rPr>
        <w:t>、</w:t>
      </w:r>
      <w:r>
        <w:rPr>
          <w:rFonts w:ascii="楷体" w:eastAsia="方正楷体简体" w:hAnsi="楷体" w:cs="宋体" w:hint="eastAsia"/>
          <w:b/>
          <w:bCs/>
          <w:sz w:val="30"/>
          <w:szCs w:val="20"/>
        </w:rPr>
        <w:t>做市商退出</w:t>
      </w:r>
      <w:r>
        <w:rPr>
          <w:rFonts w:ascii="楷体" w:eastAsia="方正楷体简体" w:hAnsi="楷体" w:cs="宋体"/>
          <w:b/>
          <w:bCs/>
          <w:sz w:val="30"/>
          <w:szCs w:val="20"/>
        </w:rPr>
        <w:t>机制</w:t>
      </w:r>
      <w:bookmarkEnd w:id="12"/>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（一）被取消资格</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1</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做市商有下列情形之一的，交易所可以取消其在某一品种上的做市商资格：</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）做市商未完成约定报价义务；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）不再满足《上海期货交易所做市商管理办法》规定的做市商资格条件；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）交易所认定或者协议约定的其他情形。</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 xml:space="preserve">2. </w:t>
      </w:r>
      <w:r>
        <w:rPr>
          <w:rFonts w:ascii="Times New Roman" w:eastAsia="方正仿宋简体" w:hAnsi="Times New Roman" w:hint="eastAsia"/>
          <w:sz w:val="30"/>
          <w:szCs w:val="30"/>
        </w:rPr>
        <w:t>做市商有下列情形之一的，交易所可以取消其在所有品种上的做市商资格：</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）存在重大违法违规行为；</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）被采取证券、期货市场禁止进入措施；</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）依法被收购、兼并、撤销、解散或者宣告破产；</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4</w:t>
      </w:r>
      <w:r>
        <w:rPr>
          <w:rFonts w:ascii="Times New Roman" w:eastAsia="方正仿宋简体" w:hAnsi="Times New Roman" w:hint="eastAsia"/>
          <w:sz w:val="30"/>
          <w:szCs w:val="30"/>
        </w:rPr>
        <w:t>）向交易所提交虚假材料；</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5</w:t>
      </w:r>
      <w:r>
        <w:rPr>
          <w:rFonts w:ascii="Times New Roman" w:eastAsia="方正仿宋简体" w:hAnsi="Times New Roman" w:hint="eastAsia"/>
          <w:sz w:val="30"/>
          <w:szCs w:val="30"/>
        </w:rPr>
        <w:t>）交易所认定或者协议约定的其他情形。</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sz w:val="30"/>
          <w:szCs w:val="30"/>
        </w:rPr>
        <w:t>做市商被取消做市商资格的，自交易所通知其失去资格之日起，其与交易所签订的相关协议自动</w:t>
      </w:r>
      <w:r>
        <w:rPr>
          <w:rFonts w:ascii="Times New Roman" w:eastAsia="方正仿宋简体" w:hAnsi="Times New Roman" w:hint="eastAsia"/>
          <w:sz w:val="30"/>
          <w:szCs w:val="30"/>
        </w:rPr>
        <w:t>终止</w:t>
      </w:r>
      <w:r>
        <w:rPr>
          <w:rFonts w:ascii="Times New Roman" w:eastAsia="方正仿宋简体" w:hAnsi="Times New Roman"/>
          <w:sz w:val="30"/>
          <w:szCs w:val="30"/>
        </w:rPr>
        <w:t>。</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（二）主动申请放弃</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做市商可以申请放弃做市商资格。做市商放弃做市商资格，应当提前一个月向交易所提出申请，自交易所通知失去资格之日起</w:t>
      </w:r>
      <w:r>
        <w:rPr>
          <w:rFonts w:ascii="Times New Roman" w:eastAsia="方正仿宋简体" w:hAnsi="Times New Roman"/>
          <w:sz w:val="30"/>
          <w:szCs w:val="30"/>
        </w:rPr>
        <w:t>，其与交易所签订的相关协议自动</w:t>
      </w:r>
      <w:r>
        <w:rPr>
          <w:rFonts w:ascii="Times New Roman" w:eastAsia="方正仿宋简体" w:hAnsi="Times New Roman" w:hint="eastAsia"/>
          <w:sz w:val="30"/>
          <w:szCs w:val="30"/>
        </w:rPr>
        <w:t>终止</w:t>
      </w:r>
      <w:r>
        <w:rPr>
          <w:rFonts w:ascii="Times New Roman" w:eastAsia="方正仿宋简体" w:hAnsi="Times New Roman"/>
          <w:sz w:val="30"/>
          <w:szCs w:val="30"/>
        </w:rPr>
        <w:t>。</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做市商不再满足开展做市业务的监管要求时，应主动申请放弃做市商资格。</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（三）交易所终止做市商业务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交易所可以根据国家有关法律、法规、政策以及市场运行情况和业务需要，终止部分或者全部品种上的做市商业务，并通知做市商。</w:t>
      </w:r>
      <w:r>
        <w:rPr>
          <w:rFonts w:ascii="Times New Roman" w:eastAsia="方正仿宋简体" w:hAnsi="Times New Roman"/>
          <w:sz w:val="30"/>
          <w:szCs w:val="30"/>
        </w:rPr>
        <w:t>交易所</w:t>
      </w:r>
      <w:r>
        <w:rPr>
          <w:rFonts w:ascii="Times New Roman" w:eastAsia="方正仿宋简体" w:hAnsi="Times New Roman" w:hint="eastAsia"/>
          <w:sz w:val="30"/>
          <w:szCs w:val="30"/>
        </w:rPr>
        <w:t>终止做市商</w:t>
      </w:r>
      <w:r>
        <w:rPr>
          <w:rFonts w:ascii="Times New Roman" w:eastAsia="方正仿宋简体" w:hAnsi="Times New Roman"/>
          <w:sz w:val="30"/>
          <w:szCs w:val="30"/>
        </w:rPr>
        <w:t>业务时，相关协议</w:t>
      </w:r>
      <w:r>
        <w:rPr>
          <w:rFonts w:ascii="Times New Roman" w:eastAsia="方正仿宋简体" w:hAnsi="Times New Roman" w:hint="eastAsia"/>
          <w:sz w:val="30"/>
          <w:szCs w:val="30"/>
        </w:rPr>
        <w:t>自动终止。</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做市商自放弃或被取消某品种做市商资格之日起一年内，交易所不再受理其在该品种的做市商资格申请。</w:t>
      </w:r>
    </w:p>
    <w:p w:rsidR="00753452" w:rsidRDefault="00753452">
      <w:pPr>
        <w:spacing w:line="560" w:lineRule="exact"/>
        <w:ind w:firstLineChars="200" w:firstLine="600"/>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13" w:name="_Toc159596041"/>
      <w:r>
        <w:rPr>
          <w:rFonts w:ascii="黑体" w:eastAsia="方正黑体简体" w:hAnsi="黑体" w:hint="eastAsia"/>
          <w:kern w:val="44"/>
          <w:sz w:val="30"/>
          <w:szCs w:val="32"/>
        </w:rPr>
        <w:t>第三章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业务申请与受理</w:t>
      </w:r>
      <w:bookmarkEnd w:id="13"/>
    </w:p>
    <w:p w:rsidR="00753452" w:rsidRDefault="00353A98">
      <w:pPr>
        <w:spacing w:line="560" w:lineRule="exact"/>
        <w:ind w:firstLineChars="200" w:firstLine="602"/>
        <w:outlineLvl w:val="1"/>
        <w:rPr>
          <w:rFonts w:ascii="楷体" w:eastAsia="方正楷体简体" w:hAnsi="楷体" w:cs="宋体"/>
          <w:b/>
          <w:bCs/>
          <w:sz w:val="30"/>
          <w:szCs w:val="20"/>
        </w:rPr>
      </w:pPr>
      <w:bookmarkStart w:id="14" w:name="_Toc159596042"/>
      <w:r>
        <w:rPr>
          <w:rFonts w:ascii="楷体" w:eastAsia="方正楷体简体" w:hAnsi="楷体" w:cs="宋体" w:hint="eastAsia"/>
          <w:b/>
          <w:bCs/>
          <w:sz w:val="30"/>
          <w:szCs w:val="20"/>
        </w:rPr>
        <w:t>一、做市商资格申请</w:t>
      </w:r>
      <w:bookmarkEnd w:id="14"/>
    </w:p>
    <w:p w:rsidR="00753452" w:rsidRDefault="00353A98">
      <w:pPr>
        <w:spacing w:line="560" w:lineRule="exact"/>
        <w:ind w:firstLineChars="200" w:firstLine="602"/>
        <w:rPr>
          <w:rFonts w:ascii="Times New Roman" w:eastAsia="方正仿宋简体" w:hAnsi="Times New Roman"/>
          <w:b/>
          <w:sz w:val="30"/>
          <w:szCs w:val="30"/>
        </w:rPr>
      </w:pPr>
      <w:bookmarkStart w:id="15" w:name="_Toc159596043"/>
      <w:r>
        <w:rPr>
          <w:rFonts w:ascii="Times New Roman" w:eastAsia="方正仿宋简体" w:hAnsi="Times New Roman" w:hint="eastAsia"/>
          <w:b/>
          <w:sz w:val="30"/>
          <w:szCs w:val="30"/>
        </w:rPr>
        <w:t>（一）提交申请材料</w:t>
      </w:r>
      <w:bookmarkEnd w:id="15"/>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申请做市商资格，应当向交易所提交以下书面材料：</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1</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经法定代表人签章并</w:t>
      </w:r>
      <w:r>
        <w:rPr>
          <w:rFonts w:ascii="Times New Roman" w:eastAsia="方正仿宋简体" w:hAnsi="Times New Roman"/>
          <w:sz w:val="30"/>
          <w:szCs w:val="30"/>
        </w:rPr>
        <w:t>加盖</w:t>
      </w:r>
      <w:r>
        <w:rPr>
          <w:rFonts w:ascii="Times New Roman" w:eastAsia="方正仿宋简体" w:hAnsi="Times New Roman" w:hint="eastAsia"/>
          <w:sz w:val="30"/>
          <w:szCs w:val="30"/>
        </w:rPr>
        <w:t>单位</w:t>
      </w:r>
      <w:r>
        <w:rPr>
          <w:rFonts w:ascii="Times New Roman" w:eastAsia="方正仿宋简体" w:hAnsi="Times New Roman"/>
          <w:sz w:val="30"/>
          <w:szCs w:val="30"/>
        </w:rPr>
        <w:t>公章</w:t>
      </w:r>
      <w:r>
        <w:rPr>
          <w:rFonts w:ascii="Times New Roman" w:eastAsia="方正仿宋简体" w:hAnsi="Times New Roman" w:hint="eastAsia"/>
          <w:sz w:val="30"/>
          <w:szCs w:val="30"/>
        </w:rPr>
        <w:t>的做市商资格申请表；</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2</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加盖单位公章的营业执照复印件；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3</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经审计的最近一期财务会计报告原件或者加盖会计师事务所公章的复印件；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4</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做市交易部门的岗位设置和职责规定，以及从事做市交易的负责人及相关人员的名单、履历；</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5</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做市交易实施方案、内部控制制度和风险管理制度；</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6</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最近三年无重大违法违规记录的承诺书；</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7</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做市交易技术系统情况的说明；</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8</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交易</w:t>
      </w:r>
      <w:r>
        <w:rPr>
          <w:rFonts w:ascii="Times New Roman" w:eastAsia="方正仿宋简体" w:hAnsi="Times New Roman"/>
          <w:sz w:val="30"/>
          <w:szCs w:val="30"/>
        </w:rPr>
        <w:t>、</w:t>
      </w:r>
      <w:r>
        <w:rPr>
          <w:rFonts w:ascii="Times New Roman" w:eastAsia="方正仿宋简体" w:hAnsi="Times New Roman" w:hint="eastAsia"/>
          <w:sz w:val="30"/>
          <w:szCs w:val="30"/>
        </w:rPr>
        <w:t>做市或者仿真交易做市情况的说明；</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9</w:t>
      </w:r>
      <w:r>
        <w:rPr>
          <w:rFonts w:ascii="Times New Roman" w:eastAsia="方正仿宋简体" w:hAnsi="Times New Roman"/>
          <w:sz w:val="30"/>
          <w:szCs w:val="30"/>
        </w:rPr>
        <w:t xml:space="preserve">. </w:t>
      </w:r>
      <w:r>
        <w:rPr>
          <w:rFonts w:ascii="Times New Roman" w:eastAsia="方正仿宋简体" w:hAnsi="Times New Roman" w:hint="eastAsia"/>
          <w:sz w:val="30"/>
          <w:szCs w:val="30"/>
        </w:rPr>
        <w:t>交易所要求提供的其他材料，包括但不限于公司股东、成立时间、注册地址、办公地址等基本情况的说明。证券公司、期货公司风险管理子公司等单位需提供所在行业主管机构出具的关于做市业务备案函或无异议函的复印件。</w:t>
      </w:r>
    </w:p>
    <w:p w:rsidR="00753452" w:rsidRDefault="00353A98">
      <w:pPr>
        <w:spacing w:line="560" w:lineRule="exact"/>
        <w:ind w:firstLineChars="200" w:firstLine="602"/>
        <w:rPr>
          <w:rFonts w:ascii="Times New Roman" w:eastAsia="方正仿宋简体" w:hAnsi="Times New Roman"/>
          <w:b/>
          <w:sz w:val="30"/>
          <w:szCs w:val="30"/>
        </w:rPr>
      </w:pPr>
      <w:bookmarkStart w:id="16" w:name="_Toc159596044"/>
      <w:r>
        <w:rPr>
          <w:rFonts w:ascii="Times New Roman" w:eastAsia="方正仿宋简体" w:hAnsi="Times New Roman" w:hint="eastAsia"/>
          <w:b/>
          <w:sz w:val="30"/>
          <w:szCs w:val="30"/>
        </w:rPr>
        <w:t>（二）材料初审</w:t>
      </w:r>
      <w:bookmarkEnd w:id="16"/>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交易所根据收到的申请材料对申请单位的条件进行预审。未按</w:t>
      </w:r>
      <w:r>
        <w:rPr>
          <w:rFonts w:ascii="Times New Roman" w:eastAsia="方正仿宋简体" w:hAnsi="Times New Roman"/>
          <w:sz w:val="30"/>
          <w:szCs w:val="30"/>
        </w:rPr>
        <w:t>要求提交</w:t>
      </w:r>
      <w:r>
        <w:rPr>
          <w:rFonts w:ascii="Times New Roman" w:eastAsia="方正仿宋简体" w:hAnsi="Times New Roman" w:hint="eastAsia"/>
          <w:sz w:val="30"/>
          <w:szCs w:val="30"/>
        </w:rPr>
        <w:t>申请</w:t>
      </w:r>
      <w:r>
        <w:rPr>
          <w:rFonts w:ascii="Times New Roman" w:eastAsia="方正仿宋简体" w:hAnsi="Times New Roman"/>
          <w:sz w:val="30"/>
          <w:szCs w:val="30"/>
        </w:rPr>
        <w:t>材料</w:t>
      </w:r>
      <w:r>
        <w:rPr>
          <w:rFonts w:ascii="Times New Roman" w:eastAsia="方正仿宋简体" w:hAnsi="Times New Roman" w:hint="eastAsia"/>
          <w:sz w:val="30"/>
          <w:szCs w:val="30"/>
        </w:rPr>
        <w:t>或者不符合做市商资格条件的，不能参加后续评审。</w:t>
      </w:r>
    </w:p>
    <w:p w:rsidR="00753452" w:rsidRDefault="00353A98">
      <w:pPr>
        <w:spacing w:line="560" w:lineRule="exact"/>
        <w:ind w:firstLineChars="200" w:firstLine="602"/>
        <w:rPr>
          <w:rFonts w:ascii="Times New Roman" w:eastAsia="方正仿宋简体" w:hAnsi="Times New Roman"/>
          <w:b/>
          <w:sz w:val="30"/>
          <w:szCs w:val="30"/>
        </w:rPr>
      </w:pPr>
      <w:bookmarkStart w:id="17" w:name="_Toc159596045"/>
      <w:r>
        <w:rPr>
          <w:rFonts w:ascii="Times New Roman" w:eastAsia="方正仿宋简体" w:hAnsi="Times New Roman" w:hint="eastAsia"/>
          <w:b/>
          <w:sz w:val="30"/>
          <w:szCs w:val="30"/>
        </w:rPr>
        <w:t>（三）综合评定</w:t>
      </w:r>
      <w:bookmarkEnd w:id="17"/>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交易所根据申请</w:t>
      </w:r>
      <w:r>
        <w:rPr>
          <w:rFonts w:ascii="Times New Roman" w:eastAsia="方正仿宋简体" w:hAnsi="Times New Roman"/>
          <w:sz w:val="30"/>
          <w:szCs w:val="30"/>
        </w:rPr>
        <w:t>单位</w:t>
      </w:r>
      <w:r>
        <w:rPr>
          <w:rFonts w:ascii="Times New Roman" w:eastAsia="方正仿宋简体" w:hAnsi="Times New Roman" w:hint="eastAsia"/>
          <w:sz w:val="30"/>
          <w:szCs w:val="30"/>
        </w:rPr>
        <w:t>的机构背景、人员配置、做市经历、技术准备等情况进行综合</w:t>
      </w:r>
      <w:r>
        <w:rPr>
          <w:rFonts w:ascii="Times New Roman" w:eastAsia="方正仿宋简体" w:hAnsi="Times New Roman"/>
          <w:sz w:val="30"/>
          <w:szCs w:val="30"/>
        </w:rPr>
        <w:t>评定</w:t>
      </w:r>
      <w:r>
        <w:rPr>
          <w:rFonts w:ascii="Times New Roman" w:eastAsia="方正仿宋简体" w:hAnsi="Times New Roman" w:hint="eastAsia"/>
          <w:sz w:val="30"/>
          <w:szCs w:val="30"/>
        </w:rPr>
        <w:t>，</w:t>
      </w:r>
      <w:r>
        <w:rPr>
          <w:rFonts w:ascii="Times New Roman" w:eastAsia="方正仿宋简体" w:hAnsi="Times New Roman"/>
          <w:sz w:val="30"/>
          <w:szCs w:val="30"/>
        </w:rPr>
        <w:t>并</w:t>
      </w:r>
      <w:r>
        <w:rPr>
          <w:rFonts w:ascii="Times New Roman" w:eastAsia="方正仿宋简体" w:hAnsi="Times New Roman" w:hint="eastAsia"/>
          <w:sz w:val="30"/>
          <w:szCs w:val="30"/>
        </w:rPr>
        <w:t>结合申请</w:t>
      </w:r>
      <w:r>
        <w:rPr>
          <w:rFonts w:ascii="Times New Roman" w:eastAsia="方正仿宋简体" w:hAnsi="Times New Roman"/>
          <w:sz w:val="30"/>
          <w:szCs w:val="30"/>
        </w:rPr>
        <w:t>单位</w:t>
      </w:r>
      <w:r>
        <w:rPr>
          <w:rFonts w:ascii="Times New Roman" w:eastAsia="方正仿宋简体" w:hAnsi="Times New Roman" w:hint="eastAsia"/>
          <w:sz w:val="30"/>
          <w:szCs w:val="30"/>
        </w:rPr>
        <w:t>意向择优遴选做市商</w:t>
      </w:r>
      <w:r>
        <w:rPr>
          <w:rFonts w:ascii="Times New Roman" w:eastAsia="方正仿宋简体" w:hAnsi="Times New Roman"/>
          <w:sz w:val="30"/>
          <w:szCs w:val="30"/>
        </w:rPr>
        <w:t>。</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w:t>
      </w:r>
      <w:r>
        <w:rPr>
          <w:rFonts w:ascii="Times New Roman" w:eastAsia="方正仿宋简体" w:hAnsi="Times New Roman"/>
          <w:sz w:val="30"/>
          <w:szCs w:val="30"/>
        </w:rPr>
        <w:t>所</w:t>
      </w:r>
      <w:r>
        <w:rPr>
          <w:rFonts w:ascii="Times New Roman" w:eastAsia="方正仿宋简体" w:hAnsi="Times New Roman" w:hint="eastAsia"/>
          <w:sz w:val="30"/>
          <w:szCs w:val="30"/>
        </w:rPr>
        <w:t>可以</w:t>
      </w:r>
      <w:r>
        <w:rPr>
          <w:rFonts w:ascii="Times New Roman" w:eastAsia="方正仿宋简体" w:hAnsi="Times New Roman"/>
          <w:sz w:val="30"/>
          <w:szCs w:val="30"/>
        </w:rPr>
        <w:t>对</w:t>
      </w:r>
      <w:r>
        <w:rPr>
          <w:rFonts w:ascii="Times New Roman" w:eastAsia="方正仿宋简体" w:hAnsi="Times New Roman" w:hint="eastAsia"/>
          <w:sz w:val="30"/>
          <w:szCs w:val="30"/>
        </w:rPr>
        <w:t>申请</w:t>
      </w:r>
      <w:r>
        <w:rPr>
          <w:rFonts w:ascii="Times New Roman" w:eastAsia="方正仿宋简体" w:hAnsi="Times New Roman"/>
          <w:sz w:val="30"/>
          <w:szCs w:val="30"/>
        </w:rPr>
        <w:t>机构</w:t>
      </w:r>
      <w:r>
        <w:rPr>
          <w:rFonts w:ascii="Times New Roman" w:eastAsia="方正仿宋简体" w:hAnsi="Times New Roman" w:hint="eastAsia"/>
          <w:sz w:val="30"/>
          <w:szCs w:val="30"/>
        </w:rPr>
        <w:t>进行现场检查，对申请材料中的相关内容进行核实。申请</w:t>
      </w:r>
      <w:r>
        <w:rPr>
          <w:rFonts w:ascii="Times New Roman" w:eastAsia="方正仿宋简体" w:hAnsi="Times New Roman"/>
          <w:sz w:val="30"/>
          <w:szCs w:val="30"/>
        </w:rPr>
        <w:t>机构</w:t>
      </w:r>
      <w:r>
        <w:rPr>
          <w:rFonts w:ascii="Times New Roman" w:eastAsia="方正仿宋简体" w:hAnsi="Times New Roman" w:hint="eastAsia"/>
          <w:sz w:val="30"/>
          <w:szCs w:val="30"/>
        </w:rPr>
        <w:t>未能</w:t>
      </w:r>
      <w:r>
        <w:rPr>
          <w:rFonts w:ascii="Times New Roman" w:eastAsia="方正仿宋简体" w:hAnsi="Times New Roman"/>
          <w:sz w:val="30"/>
          <w:szCs w:val="30"/>
        </w:rPr>
        <w:t>通过</w:t>
      </w:r>
      <w:r>
        <w:rPr>
          <w:rFonts w:ascii="Times New Roman" w:eastAsia="方正仿宋简体" w:hAnsi="Times New Roman" w:hint="eastAsia"/>
          <w:sz w:val="30"/>
          <w:szCs w:val="30"/>
        </w:rPr>
        <w:t>现场</w:t>
      </w:r>
      <w:r>
        <w:rPr>
          <w:rFonts w:ascii="Times New Roman" w:eastAsia="方正仿宋简体" w:hAnsi="Times New Roman"/>
          <w:sz w:val="30"/>
          <w:szCs w:val="30"/>
        </w:rPr>
        <w:t>检查的</w:t>
      </w:r>
      <w:r>
        <w:rPr>
          <w:rFonts w:ascii="Times New Roman" w:eastAsia="方正仿宋简体" w:hAnsi="Times New Roman" w:hint="eastAsia"/>
          <w:sz w:val="30"/>
          <w:szCs w:val="30"/>
        </w:rPr>
        <w:t>，将失去评审资格。</w:t>
      </w:r>
    </w:p>
    <w:p w:rsidR="00753452" w:rsidRDefault="00353A98">
      <w:pPr>
        <w:spacing w:line="560" w:lineRule="exact"/>
        <w:ind w:firstLineChars="200" w:firstLine="602"/>
        <w:rPr>
          <w:rFonts w:ascii="Times New Roman" w:eastAsia="方正仿宋简体" w:hAnsi="Times New Roman"/>
          <w:b/>
          <w:sz w:val="30"/>
          <w:szCs w:val="30"/>
        </w:rPr>
      </w:pPr>
      <w:bookmarkStart w:id="18" w:name="_Toc159596046"/>
      <w:r>
        <w:rPr>
          <w:rFonts w:ascii="Times New Roman" w:eastAsia="方正仿宋简体" w:hAnsi="Times New Roman" w:hint="eastAsia"/>
          <w:b/>
          <w:sz w:val="30"/>
          <w:szCs w:val="30"/>
        </w:rPr>
        <w:t>（四）资格确定及签署做市商协议</w:t>
      </w:r>
      <w:bookmarkEnd w:id="18"/>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经交易所批准后，申请机构应当与交易所签订做市商协议，协议签署后，取得相应品种做市商资格。在与交易所签订做市商协议前，做市商应当先与做市业务所在期货公司就做市有关事项达成一致意见。</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取得</w:t>
      </w:r>
      <w:r>
        <w:rPr>
          <w:rFonts w:ascii="Times New Roman" w:eastAsia="方正仿宋简体" w:hAnsi="Times New Roman"/>
          <w:sz w:val="30"/>
          <w:szCs w:val="30"/>
        </w:rPr>
        <w:t>做市商资格</w:t>
      </w:r>
      <w:r>
        <w:rPr>
          <w:rFonts w:ascii="Times New Roman" w:eastAsia="方正仿宋简体" w:hAnsi="Times New Roman" w:hint="eastAsia"/>
          <w:sz w:val="30"/>
          <w:szCs w:val="30"/>
        </w:rPr>
        <w:t>后，做市商应当及时进行设备系统安装、调试等相关工作，确保做市业务准备就绪。</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19" w:name="_Toc159596047"/>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做市交易编码申请</w:t>
      </w:r>
      <w:bookmarkEnd w:id="19"/>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做市商应当为做市业务申请专用的做市交易编码（做市交易编码为“会员号</w:t>
      </w:r>
      <w:r>
        <w:rPr>
          <w:rFonts w:ascii="Times New Roman" w:eastAsia="方正仿宋简体" w:hAnsi="Times New Roman" w:hint="eastAsia"/>
          <w:sz w:val="30"/>
          <w:szCs w:val="30"/>
        </w:rPr>
        <w:t>+</w:t>
      </w:r>
      <w:r>
        <w:rPr>
          <w:rFonts w:ascii="Times New Roman" w:eastAsia="方正仿宋简体" w:hAnsi="Times New Roman" w:hint="eastAsia"/>
          <w:sz w:val="30"/>
          <w:szCs w:val="30"/>
        </w:rPr>
        <w:t>客户号”），用于履行做市义务及进行与做市相关的交易，非期货</w:t>
      </w:r>
      <w:r>
        <w:rPr>
          <w:rFonts w:ascii="Times New Roman" w:eastAsia="方正仿宋简体" w:hAnsi="Times New Roman"/>
          <w:sz w:val="30"/>
          <w:szCs w:val="30"/>
        </w:rPr>
        <w:t>公司会员除外。</w:t>
      </w:r>
      <w:r>
        <w:rPr>
          <w:rFonts w:ascii="Times New Roman" w:eastAsia="方正仿宋简体" w:hAnsi="Times New Roman" w:hint="eastAsia"/>
          <w:sz w:val="30"/>
          <w:szCs w:val="30"/>
        </w:rPr>
        <w:t>期货做市交易编码可交易做市期货</w:t>
      </w:r>
      <w:r>
        <w:rPr>
          <w:rFonts w:ascii="Times New Roman" w:eastAsia="方正仿宋简体" w:hAnsi="Times New Roman"/>
          <w:sz w:val="30"/>
          <w:szCs w:val="30"/>
        </w:rPr>
        <w:t>品种</w:t>
      </w:r>
      <w:r>
        <w:rPr>
          <w:rFonts w:ascii="Times New Roman" w:eastAsia="方正仿宋简体" w:hAnsi="Times New Roman" w:hint="eastAsia"/>
          <w:sz w:val="30"/>
          <w:szCs w:val="30"/>
        </w:rPr>
        <w:t>，期权做市交易</w:t>
      </w:r>
      <w:r>
        <w:rPr>
          <w:rFonts w:ascii="Times New Roman" w:eastAsia="方正仿宋简体" w:hAnsi="Times New Roman"/>
          <w:sz w:val="30"/>
          <w:szCs w:val="30"/>
        </w:rPr>
        <w:t>编码</w:t>
      </w:r>
      <w:r>
        <w:rPr>
          <w:rFonts w:ascii="Times New Roman" w:eastAsia="方正仿宋简体" w:hAnsi="Times New Roman" w:hint="eastAsia"/>
          <w:sz w:val="30"/>
          <w:szCs w:val="30"/>
        </w:rPr>
        <w:t>可</w:t>
      </w:r>
      <w:r>
        <w:rPr>
          <w:rFonts w:ascii="Times New Roman" w:eastAsia="方正仿宋简体" w:hAnsi="Times New Roman"/>
          <w:sz w:val="30"/>
          <w:szCs w:val="30"/>
        </w:rPr>
        <w:t>交易</w:t>
      </w:r>
      <w:r>
        <w:rPr>
          <w:rFonts w:ascii="Times New Roman" w:eastAsia="方正仿宋简体" w:hAnsi="Times New Roman" w:hint="eastAsia"/>
          <w:sz w:val="30"/>
          <w:szCs w:val="30"/>
        </w:rPr>
        <w:t>做市期权品种及标的期货品种，不可用于交易其他品种。</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做市交易编码申请流程如下：</w:t>
      </w:r>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20" w:name="_Toc159596048"/>
      <w:r>
        <w:rPr>
          <w:rFonts w:ascii="方正仿宋简体" w:eastAsia="方正仿宋简体" w:hAnsi="方正仿宋简体" w:cs="方正仿宋简体" w:hint="eastAsia"/>
          <w:b/>
          <w:bCs/>
          <w:sz w:val="30"/>
          <w:szCs w:val="30"/>
        </w:rPr>
        <w:t>（一）做市商信息报备</w:t>
      </w:r>
      <w:bookmarkEnd w:id="20"/>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做市商应当根据交易所要求及时准确将“客户名称”、“组织机构代码”、“期货公司名称”等信息报至交易所，交易所</w:t>
      </w:r>
      <w:r>
        <w:rPr>
          <w:rFonts w:ascii="Times New Roman" w:eastAsia="方正仿宋简体" w:hAnsi="Times New Roman"/>
          <w:sz w:val="30"/>
          <w:szCs w:val="30"/>
        </w:rPr>
        <w:t>在</w:t>
      </w:r>
      <w:r>
        <w:rPr>
          <w:rFonts w:ascii="Times New Roman" w:eastAsia="方正仿宋简体" w:hAnsi="Times New Roman" w:hint="eastAsia"/>
          <w:sz w:val="30"/>
          <w:szCs w:val="30"/>
        </w:rPr>
        <w:t>期货市场统一开户系统中进行做市商信息</w:t>
      </w:r>
      <w:r>
        <w:rPr>
          <w:rFonts w:ascii="Times New Roman" w:eastAsia="方正仿宋简体" w:hAnsi="Times New Roman"/>
          <w:sz w:val="30"/>
          <w:szCs w:val="30"/>
        </w:rPr>
        <w:t>报备。</w:t>
      </w:r>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21" w:name="_Toc159596049"/>
      <w:r>
        <w:rPr>
          <w:rFonts w:ascii="方正仿宋简体" w:eastAsia="方正仿宋简体" w:hAnsi="方正仿宋简体" w:cs="方正仿宋简体" w:hint="eastAsia"/>
          <w:b/>
          <w:bCs/>
          <w:sz w:val="30"/>
          <w:szCs w:val="30"/>
        </w:rPr>
        <w:t>（二）通过期货公司申请做市交易编码</w:t>
      </w:r>
      <w:bookmarkEnd w:id="21"/>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做市商协议签订并</w:t>
      </w:r>
      <w:r>
        <w:rPr>
          <w:rFonts w:ascii="Times New Roman" w:eastAsia="方正仿宋简体" w:hAnsi="Times New Roman"/>
          <w:sz w:val="30"/>
          <w:szCs w:val="30"/>
        </w:rPr>
        <w:t>与</w:t>
      </w:r>
      <w:r>
        <w:rPr>
          <w:rFonts w:ascii="Times New Roman" w:eastAsia="方正仿宋简体" w:hAnsi="Times New Roman" w:hint="eastAsia"/>
          <w:sz w:val="30"/>
          <w:szCs w:val="30"/>
        </w:rPr>
        <w:t>交易所确认信息报备成功后，做市商应当委托做市业务所在期货公司，通过期货</w:t>
      </w:r>
      <w:r>
        <w:rPr>
          <w:rFonts w:ascii="Times New Roman" w:eastAsia="方正仿宋简体" w:hAnsi="Times New Roman"/>
          <w:sz w:val="30"/>
          <w:szCs w:val="30"/>
        </w:rPr>
        <w:t>市场统一开户系统</w:t>
      </w:r>
      <w:r>
        <w:rPr>
          <w:rFonts w:ascii="Times New Roman" w:eastAsia="方正仿宋简体" w:hAnsi="Times New Roman" w:hint="eastAsia"/>
          <w:sz w:val="30"/>
          <w:szCs w:val="30"/>
        </w:rPr>
        <w:t>申请做市交易编码。期货公司申请做市交易编码时录入的“客户名称”、“组织机构代码”、“期货公司名称”等信息应当与交易所报备信息完全一致，否则会申请失败。</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22" w:name="_Toc159596050"/>
      <w:r>
        <w:rPr>
          <w:rFonts w:ascii="楷体" w:eastAsia="方正楷体简体" w:hAnsi="楷体" w:cs="宋体" w:hint="eastAsia"/>
          <w:b/>
          <w:bCs/>
          <w:sz w:val="30"/>
          <w:szCs w:val="20"/>
        </w:rPr>
        <w:t>三</w:t>
      </w:r>
      <w:r>
        <w:rPr>
          <w:rFonts w:ascii="楷体" w:eastAsia="方正楷体简体" w:hAnsi="楷体" w:cs="宋体"/>
          <w:b/>
          <w:bCs/>
          <w:sz w:val="30"/>
          <w:szCs w:val="20"/>
        </w:rPr>
        <w:t>、</w:t>
      </w:r>
      <w:r>
        <w:rPr>
          <w:rFonts w:ascii="楷体" w:eastAsia="方正楷体简体" w:hAnsi="楷体" w:cs="宋体" w:hint="eastAsia"/>
          <w:b/>
          <w:bCs/>
          <w:sz w:val="30"/>
          <w:szCs w:val="20"/>
        </w:rPr>
        <w:t>做市交易编码变更申请</w:t>
      </w:r>
      <w:bookmarkEnd w:id="22"/>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在一个品种上，做市商只能使用一个做市交易编码开展做市业务。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变更做市交易编码的，应当提前向交易所提交变更申请。做市交易编码变更后，做市商应当及时了结变更前做市交易编码下的相关持仓，若该交易编码下无其他做市品种，应在持仓了结后及时注销交易编码。</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变更流程为：做市商按照协议</w:t>
      </w:r>
      <w:r>
        <w:rPr>
          <w:rFonts w:ascii="Times New Roman" w:eastAsia="方正仿宋简体" w:hAnsi="Times New Roman"/>
          <w:sz w:val="30"/>
          <w:szCs w:val="30"/>
        </w:rPr>
        <w:t>约定</w:t>
      </w:r>
      <w:r>
        <w:rPr>
          <w:rFonts w:ascii="Times New Roman" w:eastAsia="方正仿宋简体" w:hAnsi="Times New Roman" w:hint="eastAsia"/>
          <w:sz w:val="30"/>
          <w:szCs w:val="30"/>
        </w:rPr>
        <w:t>向交易所提交做市交易编码变更申请，交易所同意并在</w:t>
      </w:r>
      <w:r>
        <w:rPr>
          <w:rFonts w:ascii="Times New Roman" w:eastAsia="方正仿宋简体" w:hAnsi="Times New Roman"/>
          <w:sz w:val="30"/>
          <w:szCs w:val="30"/>
        </w:rPr>
        <w:t>期货市场统一开户系统</w:t>
      </w:r>
      <w:r>
        <w:rPr>
          <w:rFonts w:ascii="Times New Roman" w:eastAsia="方正仿宋简体" w:hAnsi="Times New Roman" w:hint="eastAsia"/>
          <w:sz w:val="30"/>
          <w:szCs w:val="30"/>
        </w:rPr>
        <w:t>报备</w:t>
      </w:r>
      <w:r>
        <w:rPr>
          <w:rFonts w:ascii="Times New Roman" w:eastAsia="方正仿宋简体" w:hAnsi="Times New Roman"/>
          <w:sz w:val="30"/>
          <w:szCs w:val="30"/>
        </w:rPr>
        <w:t>变更信息</w:t>
      </w:r>
      <w:r>
        <w:rPr>
          <w:rFonts w:ascii="Times New Roman" w:eastAsia="方正仿宋简体" w:hAnsi="Times New Roman" w:hint="eastAsia"/>
          <w:sz w:val="30"/>
          <w:szCs w:val="30"/>
        </w:rPr>
        <w:t>后，做市商方可通过变更</w:t>
      </w:r>
      <w:r>
        <w:rPr>
          <w:rFonts w:ascii="Times New Roman" w:eastAsia="方正仿宋简体" w:hAnsi="Times New Roman"/>
          <w:sz w:val="30"/>
          <w:szCs w:val="30"/>
        </w:rPr>
        <w:t>后</w:t>
      </w:r>
      <w:r>
        <w:rPr>
          <w:rFonts w:ascii="Times New Roman" w:eastAsia="方正仿宋简体" w:hAnsi="Times New Roman" w:hint="eastAsia"/>
          <w:sz w:val="30"/>
          <w:szCs w:val="30"/>
        </w:rPr>
        <w:t>的做市</w:t>
      </w:r>
      <w:r>
        <w:rPr>
          <w:rFonts w:ascii="Times New Roman" w:eastAsia="方正仿宋简体" w:hAnsi="Times New Roman"/>
          <w:sz w:val="30"/>
          <w:szCs w:val="30"/>
        </w:rPr>
        <w:t>业务</w:t>
      </w:r>
      <w:r>
        <w:rPr>
          <w:rFonts w:ascii="Times New Roman" w:eastAsia="方正仿宋简体" w:hAnsi="Times New Roman" w:hint="eastAsia"/>
          <w:sz w:val="30"/>
          <w:szCs w:val="30"/>
        </w:rPr>
        <w:t>所在期货公司重新申请做市交易编码。重新申请做市交易编码流程同上。</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23" w:name="_Toc159596051"/>
      <w:r>
        <w:rPr>
          <w:rFonts w:ascii="楷体" w:eastAsia="方正楷体简体" w:hAnsi="楷体" w:cs="宋体" w:hint="eastAsia"/>
          <w:b/>
          <w:bCs/>
          <w:sz w:val="30"/>
          <w:szCs w:val="20"/>
        </w:rPr>
        <w:t>四、报价义务豁免申请</w:t>
      </w:r>
      <w:bookmarkEnd w:id="23"/>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做市商因不可抗力导致无法履行报价义务，以及出现交易所认定的其他情形时，可根据需要申请豁免指定日期指定品种或合约的报价义务。</w:t>
      </w:r>
      <w:r>
        <w:rPr>
          <w:rFonts w:ascii="Times New Roman" w:eastAsia="方正仿宋简体" w:hAnsi="Times New Roman"/>
          <w:sz w:val="30"/>
          <w:szCs w:val="30"/>
        </w:rPr>
        <w:t>交易所</w:t>
      </w:r>
      <w:r>
        <w:rPr>
          <w:rFonts w:ascii="Times New Roman" w:eastAsia="方正仿宋简体" w:hAnsi="Times New Roman" w:hint="eastAsia"/>
          <w:sz w:val="30"/>
          <w:szCs w:val="30"/>
        </w:rPr>
        <w:t>收到</w:t>
      </w:r>
      <w:r>
        <w:rPr>
          <w:rFonts w:ascii="Times New Roman" w:eastAsia="方正仿宋简体" w:hAnsi="Times New Roman"/>
          <w:sz w:val="30"/>
          <w:szCs w:val="30"/>
        </w:rPr>
        <w:t>申请</w:t>
      </w:r>
      <w:r>
        <w:rPr>
          <w:rFonts w:ascii="Times New Roman" w:eastAsia="方正仿宋简体" w:hAnsi="Times New Roman" w:hint="eastAsia"/>
          <w:sz w:val="30"/>
          <w:szCs w:val="30"/>
        </w:rPr>
        <w:t>并</w:t>
      </w:r>
      <w:r>
        <w:rPr>
          <w:rFonts w:ascii="Times New Roman" w:eastAsia="方正仿宋简体" w:hAnsi="Times New Roman"/>
          <w:sz w:val="30"/>
          <w:szCs w:val="30"/>
        </w:rPr>
        <w:t>同意后，</w:t>
      </w:r>
      <w:r>
        <w:rPr>
          <w:rFonts w:ascii="Times New Roman" w:eastAsia="方正仿宋简体" w:hAnsi="Times New Roman" w:hint="eastAsia"/>
          <w:sz w:val="30"/>
          <w:szCs w:val="30"/>
        </w:rPr>
        <w:t>可相应豁免做市商</w:t>
      </w:r>
      <w:r>
        <w:rPr>
          <w:rFonts w:ascii="Times New Roman" w:eastAsia="方正仿宋简体" w:hAnsi="Times New Roman"/>
          <w:sz w:val="30"/>
          <w:szCs w:val="30"/>
        </w:rPr>
        <w:t>的报价义务</w:t>
      </w:r>
      <w:r>
        <w:rPr>
          <w:rFonts w:ascii="Times New Roman" w:eastAsia="方正仿宋简体" w:hAnsi="Times New Roman" w:hint="eastAsia"/>
          <w:sz w:val="30"/>
          <w:szCs w:val="30"/>
        </w:rPr>
        <w:t>。</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24" w:name="_Toc159596052"/>
      <w:r>
        <w:rPr>
          <w:rFonts w:ascii="楷体" w:eastAsia="方正楷体简体" w:hAnsi="楷体" w:cs="宋体" w:hint="eastAsia"/>
          <w:b/>
          <w:bCs/>
          <w:sz w:val="30"/>
          <w:szCs w:val="20"/>
        </w:rPr>
        <w:t>五、持仓额度变更申请</w:t>
      </w:r>
      <w:bookmarkEnd w:id="24"/>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因履行做市义务需要，做市商可以在持仓限额基础上，申请增加持仓额度。交易所</w:t>
      </w:r>
      <w:r>
        <w:rPr>
          <w:rFonts w:ascii="Times New Roman" w:eastAsia="方正仿宋简体" w:hAnsi="Times New Roman"/>
          <w:sz w:val="30"/>
          <w:szCs w:val="30"/>
        </w:rPr>
        <w:t>收到申请</w:t>
      </w:r>
      <w:r>
        <w:rPr>
          <w:rFonts w:ascii="Times New Roman" w:eastAsia="方正仿宋简体" w:hAnsi="Times New Roman" w:hint="eastAsia"/>
          <w:sz w:val="30"/>
          <w:szCs w:val="30"/>
        </w:rPr>
        <w:t>后，评估</w:t>
      </w:r>
      <w:r>
        <w:rPr>
          <w:rFonts w:ascii="Times New Roman" w:eastAsia="方正仿宋简体" w:hAnsi="Times New Roman"/>
          <w:sz w:val="30"/>
          <w:szCs w:val="30"/>
        </w:rPr>
        <w:t>确定</w:t>
      </w:r>
      <w:r>
        <w:rPr>
          <w:rFonts w:ascii="Times New Roman" w:eastAsia="方正仿宋简体" w:hAnsi="Times New Roman" w:hint="eastAsia"/>
          <w:sz w:val="30"/>
          <w:szCs w:val="30"/>
        </w:rPr>
        <w:t>做市商</w:t>
      </w:r>
      <w:r>
        <w:rPr>
          <w:rFonts w:ascii="Times New Roman" w:eastAsia="方正仿宋简体" w:hAnsi="Times New Roman"/>
          <w:sz w:val="30"/>
          <w:szCs w:val="30"/>
        </w:rPr>
        <w:t>持仓</w:t>
      </w:r>
      <w:r>
        <w:rPr>
          <w:rFonts w:ascii="Times New Roman" w:eastAsia="方正仿宋简体" w:hAnsi="Times New Roman" w:hint="eastAsia"/>
          <w:sz w:val="30"/>
          <w:szCs w:val="30"/>
        </w:rPr>
        <w:t>增加额度</w:t>
      </w:r>
      <w:r>
        <w:rPr>
          <w:rFonts w:ascii="Times New Roman" w:eastAsia="方正仿宋简体" w:hAnsi="Times New Roman"/>
          <w:sz w:val="30"/>
          <w:szCs w:val="30"/>
        </w:rPr>
        <w:t>。</w:t>
      </w:r>
      <w:r>
        <w:rPr>
          <w:rFonts w:ascii="Times New Roman" w:eastAsia="方正仿宋简体" w:hAnsi="Times New Roman" w:hint="eastAsia"/>
          <w:sz w:val="30"/>
          <w:szCs w:val="30"/>
        </w:rPr>
        <w:t>交易所对做市商持仓额度的管理主要包含以下方面：</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（一）做市商申请增加持仓额度时，应向交易所提交承诺函，承诺遵守交易所的各项规则制度，承诺申请的持仓额度不用于与做市无关的交易等。做市商需在加盖单位公章后，将</w:t>
      </w:r>
      <w:r>
        <w:rPr>
          <w:rFonts w:ascii="Times New Roman" w:eastAsia="方正仿宋简体" w:hAnsi="Times New Roman"/>
          <w:sz w:val="30"/>
          <w:szCs w:val="30"/>
        </w:rPr>
        <w:t>承诺函</w:t>
      </w:r>
      <w:r>
        <w:rPr>
          <w:rFonts w:ascii="Times New Roman" w:eastAsia="方正仿宋简体" w:hAnsi="Times New Roman" w:hint="eastAsia"/>
          <w:sz w:val="30"/>
          <w:szCs w:val="30"/>
        </w:rPr>
        <w:t>原件寄送至交易所。</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（二）做市商失去做市商资格后，应当及时、有序了结原做市交易编码下的相关持仓（一般不得超过</w:t>
      </w:r>
      <w:r>
        <w:rPr>
          <w:rFonts w:ascii="Times New Roman" w:eastAsia="方正仿宋简体" w:hAnsi="Times New Roman" w:hint="eastAsia"/>
          <w:sz w:val="30"/>
          <w:szCs w:val="30"/>
        </w:rPr>
        <w:t>1</w:t>
      </w:r>
      <w:r>
        <w:rPr>
          <w:rFonts w:ascii="Times New Roman" w:eastAsia="方正仿宋简体" w:hAnsi="Times New Roman" w:hint="eastAsia"/>
          <w:sz w:val="30"/>
          <w:szCs w:val="30"/>
        </w:rPr>
        <w:t>个月），交易所将限制该交易编码的开仓权限并取消所增加的持仓</w:t>
      </w:r>
      <w:r>
        <w:rPr>
          <w:rFonts w:ascii="Times New Roman" w:eastAsia="方正仿宋简体" w:hAnsi="Times New Roman"/>
          <w:sz w:val="30"/>
          <w:szCs w:val="30"/>
        </w:rPr>
        <w:t>额度</w:t>
      </w:r>
      <w:r>
        <w:rPr>
          <w:rFonts w:ascii="Times New Roman" w:eastAsia="方正仿宋简体" w:hAnsi="Times New Roman" w:hint="eastAsia"/>
          <w:sz w:val="30"/>
          <w:szCs w:val="30"/>
        </w:rPr>
        <w:t>。</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（三）交易所根据做市</w:t>
      </w:r>
      <w:r>
        <w:rPr>
          <w:rFonts w:ascii="Times New Roman" w:eastAsia="方正仿宋简体" w:hAnsi="Times New Roman"/>
          <w:sz w:val="30"/>
          <w:szCs w:val="30"/>
        </w:rPr>
        <w:t>业务需要</w:t>
      </w:r>
      <w:r>
        <w:rPr>
          <w:rFonts w:ascii="Times New Roman" w:eastAsia="方正仿宋简体" w:hAnsi="Times New Roman" w:hint="eastAsia"/>
          <w:sz w:val="30"/>
          <w:szCs w:val="30"/>
        </w:rPr>
        <w:t>及</w:t>
      </w:r>
      <w:r>
        <w:rPr>
          <w:rFonts w:ascii="Times New Roman" w:eastAsia="方正仿宋简体" w:hAnsi="Times New Roman"/>
          <w:sz w:val="30"/>
          <w:szCs w:val="30"/>
        </w:rPr>
        <w:t>市场运行情况</w:t>
      </w:r>
      <w:r>
        <w:rPr>
          <w:rFonts w:ascii="Times New Roman" w:eastAsia="方正仿宋简体" w:hAnsi="Times New Roman" w:hint="eastAsia"/>
          <w:sz w:val="30"/>
          <w:szCs w:val="30"/>
        </w:rPr>
        <w:t>审核做市商增加持仓额度的</w:t>
      </w:r>
      <w:r>
        <w:rPr>
          <w:rFonts w:ascii="Times New Roman" w:eastAsia="方正仿宋简体" w:hAnsi="Times New Roman"/>
          <w:sz w:val="30"/>
          <w:szCs w:val="30"/>
        </w:rPr>
        <w:t>申请</w:t>
      </w:r>
      <w:r>
        <w:rPr>
          <w:rFonts w:ascii="Times New Roman" w:eastAsia="方正仿宋简体" w:hAnsi="Times New Roman" w:hint="eastAsia"/>
          <w:sz w:val="30"/>
          <w:szCs w:val="30"/>
        </w:rPr>
        <w:t>。</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（四）做市交易编码不得与其他交易编码共用持仓增加额度。</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（五）交易所可以视市场情况调整已审核的持仓</w:t>
      </w:r>
      <w:r>
        <w:rPr>
          <w:rFonts w:ascii="Times New Roman" w:eastAsia="方正仿宋简体" w:hAnsi="Times New Roman"/>
          <w:sz w:val="30"/>
          <w:szCs w:val="30"/>
        </w:rPr>
        <w:t>额度</w:t>
      </w:r>
      <w:r>
        <w:rPr>
          <w:rFonts w:ascii="Times New Roman" w:eastAsia="方正仿宋简体" w:hAnsi="Times New Roman" w:hint="eastAsia"/>
          <w:sz w:val="30"/>
          <w:szCs w:val="30"/>
        </w:rPr>
        <w:t>。</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25" w:name="_Toc159596053"/>
      <w:r>
        <w:rPr>
          <w:rFonts w:ascii="楷体" w:eastAsia="方正楷体简体" w:hAnsi="楷体" w:cs="宋体" w:hint="eastAsia"/>
          <w:b/>
          <w:bCs/>
          <w:sz w:val="30"/>
          <w:szCs w:val="20"/>
        </w:rPr>
        <w:t>六</w:t>
      </w:r>
      <w:r>
        <w:rPr>
          <w:rFonts w:ascii="楷体" w:eastAsia="方正楷体简体" w:hAnsi="楷体" w:cs="宋体"/>
          <w:b/>
          <w:bCs/>
          <w:sz w:val="30"/>
          <w:szCs w:val="20"/>
        </w:rPr>
        <w:t>、</w:t>
      </w:r>
      <w:r>
        <w:rPr>
          <w:rFonts w:ascii="楷体" w:eastAsia="方正楷体简体" w:hAnsi="楷体" w:cs="宋体" w:hint="eastAsia"/>
          <w:b/>
          <w:bCs/>
          <w:sz w:val="30"/>
          <w:szCs w:val="20"/>
        </w:rPr>
        <w:t>放弃</w:t>
      </w:r>
      <w:r>
        <w:rPr>
          <w:rFonts w:ascii="楷体" w:eastAsia="方正楷体简体" w:hAnsi="楷体" w:cs="宋体"/>
          <w:b/>
          <w:bCs/>
          <w:sz w:val="30"/>
          <w:szCs w:val="20"/>
        </w:rPr>
        <w:t>做市资格申请</w:t>
      </w:r>
      <w:bookmarkEnd w:id="25"/>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做市商可以申请放弃某</w:t>
      </w:r>
      <w:r>
        <w:rPr>
          <w:rFonts w:ascii="Times New Roman" w:eastAsia="方正仿宋简体" w:hAnsi="Times New Roman"/>
          <w:sz w:val="30"/>
          <w:szCs w:val="30"/>
        </w:rPr>
        <w:t>品种</w:t>
      </w:r>
      <w:r>
        <w:rPr>
          <w:rFonts w:ascii="Times New Roman" w:eastAsia="方正仿宋简体" w:hAnsi="Times New Roman" w:hint="eastAsia"/>
          <w:sz w:val="30"/>
          <w:szCs w:val="30"/>
        </w:rPr>
        <w:t>做市商资格。做市商放弃做市商资格，应当提前一个月向交易所提交申请，自交易所通知失去资格之日起，其与交易所</w:t>
      </w:r>
      <w:r>
        <w:rPr>
          <w:rFonts w:ascii="Times New Roman" w:eastAsia="方正仿宋简体" w:hAnsi="Times New Roman"/>
          <w:sz w:val="30"/>
          <w:szCs w:val="30"/>
        </w:rPr>
        <w:t>签订的</w:t>
      </w:r>
      <w:r>
        <w:rPr>
          <w:rFonts w:ascii="Times New Roman" w:eastAsia="方正仿宋简体" w:hAnsi="Times New Roman" w:hint="eastAsia"/>
          <w:sz w:val="30"/>
          <w:szCs w:val="30"/>
        </w:rPr>
        <w:t>相关协议自动终止。</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26" w:name="_Toc159596054"/>
      <w:r>
        <w:rPr>
          <w:rFonts w:ascii="楷体" w:eastAsia="方正楷体简体" w:hAnsi="楷体" w:cs="宋体" w:hint="eastAsia"/>
          <w:b/>
          <w:bCs/>
          <w:sz w:val="30"/>
          <w:szCs w:val="20"/>
        </w:rPr>
        <w:t>七</w:t>
      </w:r>
      <w:r>
        <w:rPr>
          <w:rFonts w:ascii="楷体" w:eastAsia="方正楷体简体" w:hAnsi="楷体" w:cs="宋体"/>
          <w:b/>
          <w:bCs/>
          <w:sz w:val="30"/>
          <w:szCs w:val="20"/>
        </w:rPr>
        <w:t>、</w:t>
      </w:r>
      <w:r>
        <w:rPr>
          <w:rFonts w:ascii="楷体" w:eastAsia="方正楷体简体" w:hAnsi="楷体" w:cs="宋体" w:hint="eastAsia"/>
          <w:b/>
          <w:bCs/>
          <w:sz w:val="30"/>
          <w:szCs w:val="20"/>
        </w:rPr>
        <w:t>做市商</w:t>
      </w:r>
      <w:r>
        <w:rPr>
          <w:rFonts w:ascii="楷体" w:eastAsia="方正楷体简体" w:hAnsi="楷体" w:cs="宋体"/>
          <w:b/>
          <w:bCs/>
          <w:sz w:val="30"/>
          <w:szCs w:val="20"/>
        </w:rPr>
        <w:t>基本情况</w:t>
      </w:r>
      <w:r>
        <w:rPr>
          <w:rFonts w:ascii="楷体" w:eastAsia="方正楷体简体" w:hAnsi="楷体" w:cs="宋体" w:hint="eastAsia"/>
          <w:b/>
          <w:bCs/>
          <w:sz w:val="30"/>
          <w:szCs w:val="20"/>
        </w:rPr>
        <w:t>变更报备</w:t>
      </w:r>
      <w:bookmarkEnd w:id="26"/>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做市商的控股股东（合伙人）、经营场所、法定代表人、做市业务负责人及其联系方式等发生变化，以及财务状况和技术系统等发生重大变化时，应当自发生之日起</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个交易日内向交易所书面报告。</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做市商协议中载明的邮寄地址、电子邮箱发生变化的，应当及时通知交易所。</w:t>
      </w:r>
    </w:p>
    <w:p w:rsidR="00753452" w:rsidRDefault="00753452">
      <w:pPr>
        <w:spacing w:line="560" w:lineRule="exact"/>
        <w:ind w:firstLineChars="200" w:firstLine="600"/>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27" w:name="_Toc159596055"/>
      <w:r>
        <w:rPr>
          <w:rFonts w:ascii="黑体" w:eastAsia="方正黑体简体" w:hAnsi="黑体" w:hint="eastAsia"/>
          <w:kern w:val="44"/>
          <w:sz w:val="30"/>
          <w:szCs w:val="32"/>
        </w:rPr>
        <w:t>第四章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义务和权利</w:t>
      </w:r>
      <w:bookmarkEnd w:id="27"/>
    </w:p>
    <w:p w:rsidR="00753452" w:rsidRDefault="00353A98">
      <w:pPr>
        <w:spacing w:line="560" w:lineRule="exact"/>
        <w:ind w:firstLineChars="200" w:firstLine="602"/>
        <w:outlineLvl w:val="1"/>
        <w:rPr>
          <w:rFonts w:ascii="楷体" w:eastAsia="方正楷体简体" w:hAnsi="楷体" w:cs="宋体"/>
          <w:b/>
          <w:bCs/>
          <w:sz w:val="30"/>
          <w:szCs w:val="20"/>
        </w:rPr>
      </w:pPr>
      <w:bookmarkStart w:id="28" w:name="_Toc159596056"/>
      <w:r>
        <w:rPr>
          <w:rFonts w:ascii="楷体" w:eastAsia="方正楷体简体" w:hAnsi="楷体" w:cs="宋体" w:hint="eastAsia"/>
          <w:b/>
          <w:bCs/>
          <w:sz w:val="30"/>
          <w:szCs w:val="20"/>
        </w:rPr>
        <w:t>一、做市商义务</w:t>
      </w:r>
      <w:bookmarkEnd w:id="28"/>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29" w:name="_Toc159596057"/>
      <w:r>
        <w:rPr>
          <w:rFonts w:ascii="方正仿宋简体" w:eastAsia="方正仿宋简体" w:hAnsi="方正仿宋简体" w:cs="方正仿宋简体" w:hint="eastAsia"/>
          <w:b/>
          <w:bCs/>
          <w:sz w:val="30"/>
          <w:szCs w:val="30"/>
        </w:rPr>
        <w:t>（一）期货做市商</w:t>
      </w:r>
      <w:bookmarkEnd w:id="29"/>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期货做市商需履行持续报价义务。</w:t>
      </w:r>
    </w:p>
    <w:p w:rsidR="00753452" w:rsidRDefault="00353A98">
      <w:pPr>
        <w:spacing w:line="560" w:lineRule="exact"/>
        <w:ind w:firstLineChars="200" w:firstLine="602"/>
        <w:rPr>
          <w:rFonts w:ascii="Times New Roman" w:eastAsia="方正仿宋简体" w:hAnsi="Times New Roman"/>
          <w:sz w:val="30"/>
          <w:szCs w:val="30"/>
        </w:rPr>
      </w:pPr>
      <w:r>
        <w:rPr>
          <w:rFonts w:ascii="Times New Roman" w:eastAsia="方正仿宋简体" w:hAnsi="Times New Roman" w:hint="eastAsia"/>
          <w:b/>
          <w:sz w:val="30"/>
          <w:szCs w:val="30"/>
        </w:rPr>
        <w:t>1.</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持续报价</w:t>
      </w:r>
      <w:r>
        <w:rPr>
          <w:rFonts w:ascii="Times New Roman" w:eastAsia="方正仿宋简体" w:hAnsi="Times New Roman"/>
          <w:b/>
          <w:sz w:val="30"/>
          <w:szCs w:val="30"/>
        </w:rPr>
        <w:t>义务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w:t>
      </w:r>
      <w:r>
        <w:rPr>
          <w:rFonts w:ascii="Times New Roman" w:eastAsia="方正仿宋简体" w:hAnsi="Times New Roman"/>
          <w:sz w:val="30"/>
          <w:szCs w:val="30"/>
        </w:rPr>
        <w:t>一个</w:t>
      </w:r>
      <w:r>
        <w:rPr>
          <w:rFonts w:ascii="Times New Roman" w:eastAsia="方正仿宋简体" w:hAnsi="Times New Roman" w:hint="eastAsia"/>
          <w:sz w:val="30"/>
          <w:szCs w:val="30"/>
        </w:rPr>
        <w:t>规定时间段</w:t>
      </w:r>
      <w:r>
        <w:rPr>
          <w:rFonts w:ascii="Times New Roman" w:eastAsia="方正仿宋简体" w:hAnsi="Times New Roman"/>
          <w:sz w:val="30"/>
          <w:szCs w:val="30"/>
        </w:rPr>
        <w:t>内，</w:t>
      </w:r>
      <w:r>
        <w:rPr>
          <w:rFonts w:ascii="Times New Roman" w:eastAsia="方正仿宋简体" w:hAnsi="Times New Roman" w:hint="eastAsia"/>
          <w:sz w:val="30"/>
          <w:szCs w:val="30"/>
        </w:rPr>
        <w:t>做市商在</w:t>
      </w:r>
      <w:r>
        <w:rPr>
          <w:rFonts w:ascii="Times New Roman" w:eastAsia="方正仿宋简体" w:hAnsi="Times New Roman"/>
          <w:sz w:val="30"/>
          <w:szCs w:val="30"/>
        </w:rPr>
        <w:t>做市</w:t>
      </w:r>
      <w:r>
        <w:rPr>
          <w:rFonts w:ascii="Times New Roman" w:eastAsia="方正仿宋简体" w:hAnsi="Times New Roman" w:hint="eastAsia"/>
          <w:sz w:val="30"/>
          <w:szCs w:val="30"/>
        </w:rPr>
        <w:t>合约</w:t>
      </w:r>
      <w:r>
        <w:rPr>
          <w:rFonts w:ascii="Times New Roman" w:eastAsia="方正仿宋简体" w:hAnsi="Times New Roman"/>
          <w:sz w:val="30"/>
          <w:szCs w:val="30"/>
        </w:rPr>
        <w:t>上</w:t>
      </w:r>
      <w:r>
        <w:rPr>
          <w:rFonts w:ascii="Times New Roman" w:eastAsia="方正仿宋简体" w:hAnsi="Times New Roman" w:hint="eastAsia"/>
          <w:sz w:val="30"/>
          <w:szCs w:val="30"/>
        </w:rPr>
        <w:t>的有效持续报价时间比应当不低于交易所最低要求。做市合约由交易所根据市场运行情况指定，并</w:t>
      </w:r>
      <w:r>
        <w:rPr>
          <w:rFonts w:ascii="Times New Roman" w:eastAsia="方正仿宋简体" w:hAnsi="Times New Roman"/>
          <w:sz w:val="30"/>
          <w:szCs w:val="30"/>
        </w:rPr>
        <w:t>通过</w:t>
      </w:r>
      <w:r>
        <w:rPr>
          <w:rFonts w:ascii="Times New Roman" w:eastAsia="方正仿宋简体" w:hAnsi="Times New Roman" w:hint="eastAsia"/>
          <w:sz w:val="30"/>
          <w:szCs w:val="30"/>
        </w:rPr>
        <w:t>做市商</w:t>
      </w:r>
      <w:r>
        <w:rPr>
          <w:rFonts w:ascii="Times New Roman" w:eastAsia="方正仿宋简体" w:hAnsi="Times New Roman"/>
          <w:sz w:val="30"/>
          <w:szCs w:val="30"/>
        </w:rPr>
        <w:t>协议</w:t>
      </w:r>
      <w:r>
        <w:rPr>
          <w:rFonts w:ascii="Times New Roman" w:eastAsia="方正仿宋简体" w:hAnsi="Times New Roman" w:hint="eastAsia"/>
          <w:sz w:val="30"/>
          <w:szCs w:val="30"/>
        </w:rPr>
        <w:t>约定</w:t>
      </w:r>
      <w:r>
        <w:rPr>
          <w:rFonts w:ascii="Times New Roman" w:eastAsia="方正仿宋简体" w:hAnsi="Times New Roman"/>
          <w:sz w:val="30"/>
          <w:szCs w:val="30"/>
        </w:rPr>
        <w:t>的方式</w:t>
      </w:r>
      <w:r>
        <w:rPr>
          <w:rFonts w:ascii="Times New Roman" w:eastAsia="方正仿宋简体" w:hAnsi="Times New Roman" w:hint="eastAsia"/>
          <w:sz w:val="30"/>
          <w:szCs w:val="30"/>
        </w:rPr>
        <w:t>通知做市商。有效持续报价时间比，是指在履行报价义务的做市合约上，做市商提供有效持续报价的时间与交易时间的比例。</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有效持续报价应</w:t>
      </w:r>
      <w:r>
        <w:rPr>
          <w:rFonts w:ascii="Times New Roman" w:eastAsia="方正仿宋简体" w:hAnsi="Times New Roman"/>
          <w:sz w:val="30"/>
          <w:szCs w:val="30"/>
        </w:rPr>
        <w:t>同时满足</w:t>
      </w:r>
      <w:r>
        <w:rPr>
          <w:rFonts w:ascii="Times New Roman" w:eastAsia="方正仿宋简体" w:hAnsi="Times New Roman" w:hint="eastAsia"/>
          <w:sz w:val="30"/>
          <w:szCs w:val="30"/>
        </w:rPr>
        <w:t>以下两个</w:t>
      </w:r>
      <w:r>
        <w:rPr>
          <w:rFonts w:ascii="Times New Roman" w:eastAsia="方正仿宋简体" w:hAnsi="Times New Roman"/>
          <w:sz w:val="30"/>
          <w:szCs w:val="30"/>
        </w:rPr>
        <w:t>条件</w:t>
      </w:r>
      <w:r>
        <w:rPr>
          <w:rFonts w:ascii="Times New Roman" w:eastAsia="方正仿宋简体" w:hAnsi="Times New Roman" w:hint="eastAsia"/>
          <w:sz w:val="30"/>
          <w:szCs w:val="30"/>
        </w:rPr>
        <w:t>：</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）买入报价累计手数和卖出</w:t>
      </w:r>
      <w:r>
        <w:rPr>
          <w:rFonts w:ascii="Times New Roman" w:eastAsia="方正仿宋简体" w:hAnsi="Times New Roman"/>
          <w:sz w:val="30"/>
          <w:szCs w:val="30"/>
        </w:rPr>
        <w:t>报价</w:t>
      </w:r>
      <w:r>
        <w:rPr>
          <w:rFonts w:ascii="Times New Roman" w:eastAsia="方正仿宋简体" w:hAnsi="Times New Roman" w:hint="eastAsia"/>
          <w:sz w:val="30"/>
          <w:szCs w:val="30"/>
        </w:rPr>
        <w:t>累计手数</w:t>
      </w:r>
      <w:r>
        <w:rPr>
          <w:rFonts w:ascii="Times New Roman" w:eastAsia="方正仿宋简体" w:hAnsi="Times New Roman"/>
          <w:sz w:val="30"/>
          <w:szCs w:val="30"/>
        </w:rPr>
        <w:t>均不</w:t>
      </w:r>
      <w:r>
        <w:rPr>
          <w:rFonts w:ascii="Times New Roman" w:eastAsia="方正仿宋简体" w:hAnsi="Times New Roman" w:hint="eastAsia"/>
          <w:sz w:val="30"/>
          <w:szCs w:val="30"/>
        </w:rPr>
        <w:t>小于规定的最小报价数量；</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）在满足</w:t>
      </w:r>
      <w:r>
        <w:rPr>
          <w:rFonts w:ascii="Times New Roman" w:eastAsia="方正仿宋简体" w:hAnsi="Times New Roman"/>
          <w:sz w:val="30"/>
          <w:szCs w:val="30"/>
        </w:rPr>
        <w:t>条件（</w:t>
      </w:r>
      <w:r>
        <w:rPr>
          <w:rFonts w:ascii="Times New Roman" w:eastAsia="方正仿宋简体" w:hAnsi="Times New Roman" w:hint="eastAsia"/>
          <w:sz w:val="30"/>
          <w:szCs w:val="30"/>
        </w:rPr>
        <w:t>1</w:t>
      </w:r>
      <w:r>
        <w:rPr>
          <w:rFonts w:ascii="Times New Roman" w:eastAsia="方正仿宋简体" w:hAnsi="Times New Roman"/>
          <w:sz w:val="30"/>
          <w:szCs w:val="30"/>
        </w:rPr>
        <w:t>）</w:t>
      </w:r>
      <w:r>
        <w:rPr>
          <w:rFonts w:ascii="Times New Roman" w:eastAsia="方正仿宋简体" w:hAnsi="Times New Roman" w:hint="eastAsia"/>
          <w:sz w:val="30"/>
          <w:szCs w:val="30"/>
        </w:rPr>
        <w:t>的</w:t>
      </w:r>
      <w:r>
        <w:rPr>
          <w:rFonts w:ascii="Times New Roman" w:eastAsia="方正仿宋简体" w:hAnsi="Times New Roman"/>
          <w:sz w:val="30"/>
          <w:szCs w:val="30"/>
        </w:rPr>
        <w:t>基础上，</w:t>
      </w:r>
      <w:r>
        <w:rPr>
          <w:rFonts w:ascii="Times New Roman" w:eastAsia="方正仿宋简体" w:hAnsi="Times New Roman" w:hint="eastAsia"/>
          <w:sz w:val="30"/>
          <w:szCs w:val="30"/>
        </w:rPr>
        <w:t>卖</w:t>
      </w:r>
      <w:r>
        <w:rPr>
          <w:rFonts w:ascii="Times New Roman" w:eastAsia="方正仿宋简体" w:hAnsi="Times New Roman"/>
          <w:sz w:val="30"/>
          <w:szCs w:val="30"/>
        </w:rPr>
        <w:t>出报价</w:t>
      </w:r>
      <w:r>
        <w:rPr>
          <w:rFonts w:ascii="Times New Roman" w:eastAsia="方正仿宋简体" w:hAnsi="Times New Roman" w:hint="eastAsia"/>
          <w:sz w:val="30"/>
          <w:szCs w:val="30"/>
        </w:rPr>
        <w:t>累计手数达到最小报价数量时所对应的</w:t>
      </w:r>
      <w:r>
        <w:rPr>
          <w:rFonts w:ascii="Times New Roman" w:eastAsia="方正仿宋简体" w:hAnsi="Times New Roman"/>
          <w:sz w:val="30"/>
          <w:szCs w:val="30"/>
        </w:rPr>
        <w:t>最高</w:t>
      </w:r>
      <w:r>
        <w:rPr>
          <w:rFonts w:ascii="Times New Roman" w:eastAsia="方正仿宋简体" w:hAnsi="Times New Roman" w:hint="eastAsia"/>
          <w:sz w:val="30"/>
          <w:szCs w:val="30"/>
        </w:rPr>
        <w:t>卖出报价</w:t>
      </w:r>
      <w:r>
        <w:rPr>
          <w:rFonts w:ascii="Times New Roman" w:eastAsia="方正仿宋简体" w:hAnsi="Times New Roman"/>
          <w:sz w:val="30"/>
          <w:szCs w:val="30"/>
        </w:rPr>
        <w:t>，</w:t>
      </w:r>
      <w:r>
        <w:rPr>
          <w:rFonts w:ascii="Times New Roman" w:eastAsia="方正仿宋简体" w:hAnsi="Times New Roman" w:hint="eastAsia"/>
          <w:sz w:val="30"/>
          <w:szCs w:val="30"/>
        </w:rPr>
        <w:t>与买入</w:t>
      </w:r>
      <w:r>
        <w:rPr>
          <w:rFonts w:ascii="Times New Roman" w:eastAsia="方正仿宋简体" w:hAnsi="Times New Roman"/>
          <w:sz w:val="30"/>
          <w:szCs w:val="30"/>
        </w:rPr>
        <w:t>报价</w:t>
      </w:r>
      <w:r>
        <w:rPr>
          <w:rFonts w:ascii="Times New Roman" w:eastAsia="方正仿宋简体" w:hAnsi="Times New Roman" w:hint="eastAsia"/>
          <w:sz w:val="30"/>
          <w:szCs w:val="30"/>
        </w:rPr>
        <w:t>累计</w:t>
      </w:r>
      <w:r>
        <w:rPr>
          <w:rFonts w:ascii="Times New Roman" w:eastAsia="方正仿宋简体" w:hAnsi="Times New Roman"/>
          <w:sz w:val="30"/>
          <w:szCs w:val="30"/>
        </w:rPr>
        <w:t>手数</w:t>
      </w:r>
      <w:r>
        <w:rPr>
          <w:rFonts w:ascii="Times New Roman" w:eastAsia="方正仿宋简体" w:hAnsi="Times New Roman" w:hint="eastAsia"/>
          <w:sz w:val="30"/>
          <w:szCs w:val="30"/>
        </w:rPr>
        <w:t>达到</w:t>
      </w:r>
      <w:r>
        <w:rPr>
          <w:rFonts w:ascii="Times New Roman" w:eastAsia="方正仿宋简体" w:hAnsi="Times New Roman"/>
          <w:sz w:val="30"/>
          <w:szCs w:val="30"/>
        </w:rPr>
        <w:t>最小报价</w:t>
      </w:r>
      <w:r>
        <w:rPr>
          <w:rFonts w:ascii="Times New Roman" w:eastAsia="方正仿宋简体" w:hAnsi="Times New Roman" w:hint="eastAsia"/>
          <w:sz w:val="30"/>
          <w:szCs w:val="30"/>
        </w:rPr>
        <w:t>数量</w:t>
      </w:r>
      <w:r>
        <w:rPr>
          <w:rFonts w:ascii="Times New Roman" w:eastAsia="方正仿宋简体" w:hAnsi="Times New Roman"/>
          <w:sz w:val="30"/>
          <w:szCs w:val="30"/>
        </w:rPr>
        <w:t>时</w:t>
      </w:r>
      <w:r>
        <w:rPr>
          <w:rFonts w:ascii="Times New Roman" w:eastAsia="方正仿宋简体" w:hAnsi="Times New Roman" w:hint="eastAsia"/>
          <w:sz w:val="30"/>
          <w:szCs w:val="30"/>
        </w:rPr>
        <w:t>所对应</w:t>
      </w:r>
      <w:r>
        <w:rPr>
          <w:rFonts w:ascii="Times New Roman" w:eastAsia="方正仿宋简体" w:hAnsi="Times New Roman"/>
          <w:sz w:val="30"/>
          <w:szCs w:val="30"/>
        </w:rPr>
        <w:t>的</w:t>
      </w:r>
      <w:r>
        <w:rPr>
          <w:rFonts w:ascii="Times New Roman" w:eastAsia="方正仿宋简体" w:hAnsi="Times New Roman" w:hint="eastAsia"/>
          <w:sz w:val="30"/>
          <w:szCs w:val="30"/>
        </w:rPr>
        <w:t>最低买入报价之差</w:t>
      </w:r>
      <w:r>
        <w:rPr>
          <w:rFonts w:ascii="Times New Roman" w:eastAsia="方正仿宋简体" w:hAnsi="Times New Roman"/>
          <w:sz w:val="30"/>
          <w:szCs w:val="30"/>
        </w:rPr>
        <w:t>，</w:t>
      </w:r>
      <w:r>
        <w:rPr>
          <w:rFonts w:ascii="Times New Roman" w:eastAsia="方正仿宋简体" w:hAnsi="Times New Roman" w:hint="eastAsia"/>
          <w:sz w:val="30"/>
          <w:szCs w:val="30"/>
        </w:rPr>
        <w:t>不大于规定</w:t>
      </w:r>
      <w:r>
        <w:rPr>
          <w:rFonts w:ascii="Times New Roman" w:eastAsia="方正仿宋简体" w:hAnsi="Times New Roman"/>
          <w:sz w:val="30"/>
          <w:szCs w:val="30"/>
        </w:rPr>
        <w:t>的</w:t>
      </w:r>
      <w:r>
        <w:rPr>
          <w:rFonts w:ascii="Times New Roman" w:eastAsia="方正仿宋简体" w:hAnsi="Times New Roman" w:hint="eastAsia"/>
          <w:sz w:val="30"/>
          <w:szCs w:val="30"/>
        </w:rPr>
        <w:t>最大买卖价差。</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b/>
          <w:sz w:val="30"/>
          <w:szCs w:val="30"/>
        </w:rPr>
        <w:t>2</w:t>
      </w:r>
      <w:r>
        <w:rPr>
          <w:rFonts w:ascii="Times New Roman" w:eastAsia="方正仿宋简体" w:hAnsi="Times New Roman" w:hint="eastAsia"/>
          <w:b/>
          <w:sz w:val="30"/>
          <w:szCs w:val="30"/>
        </w:rPr>
        <w:t>.</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报价</w:t>
      </w:r>
      <w:r>
        <w:rPr>
          <w:rFonts w:ascii="Times New Roman" w:eastAsia="方正仿宋简体" w:hAnsi="Times New Roman"/>
          <w:b/>
          <w:sz w:val="30"/>
          <w:szCs w:val="30"/>
        </w:rPr>
        <w:t>义务</w:t>
      </w:r>
      <w:r>
        <w:rPr>
          <w:rFonts w:ascii="Times New Roman" w:eastAsia="方正仿宋简体" w:hAnsi="Times New Roman" w:hint="eastAsia"/>
          <w:b/>
          <w:sz w:val="30"/>
          <w:szCs w:val="30"/>
        </w:rPr>
        <w:t>豁免</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出现下列情形之一的，期货做市商</w:t>
      </w:r>
      <w:r>
        <w:rPr>
          <w:rFonts w:ascii="Times New Roman" w:eastAsia="方正仿宋简体" w:hAnsi="Times New Roman"/>
          <w:sz w:val="30"/>
          <w:szCs w:val="30"/>
        </w:rPr>
        <w:t>可以不履行报价义务</w:t>
      </w:r>
      <w:r>
        <w:rPr>
          <w:rFonts w:ascii="Times New Roman" w:eastAsia="方正仿宋简体" w:hAnsi="Times New Roman" w:hint="eastAsia"/>
          <w:sz w:val="30"/>
          <w:szCs w:val="30"/>
        </w:rPr>
        <w:t>：</w:t>
      </w:r>
    </w:p>
    <w:p w:rsidR="00753452" w:rsidRDefault="00353A98">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1</w:t>
      </w:r>
      <w:r>
        <w:rPr>
          <w:rFonts w:ascii="Times New Roman" w:eastAsia="方正仿宋简体" w:hAnsi="Times New Roman" w:hint="eastAsia"/>
          <w:kern w:val="0"/>
          <w:sz w:val="30"/>
          <w:szCs w:val="30"/>
        </w:rPr>
        <w:t>）期货合约集合竞价期间，做市商可以不对所有做市合约报价；</w:t>
      </w:r>
    </w:p>
    <w:p w:rsidR="00753452" w:rsidRDefault="00353A98">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2</w:t>
      </w:r>
      <w:r>
        <w:rPr>
          <w:rFonts w:ascii="Times New Roman" w:eastAsia="方正仿宋简体" w:hAnsi="Times New Roman" w:hint="eastAsia"/>
          <w:kern w:val="0"/>
          <w:sz w:val="30"/>
          <w:szCs w:val="30"/>
        </w:rPr>
        <w:t>）做市合约达到涨跌停板价格时，做市商可以不对该做市合约报价；</w:t>
      </w:r>
    </w:p>
    <w:p w:rsidR="00753452" w:rsidRDefault="00353A98">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3</w:t>
      </w:r>
      <w:r>
        <w:rPr>
          <w:rFonts w:ascii="Times New Roman" w:eastAsia="方正仿宋简体" w:hAnsi="Times New Roman" w:hint="eastAsia"/>
          <w:kern w:val="0"/>
          <w:sz w:val="30"/>
          <w:szCs w:val="30"/>
        </w:rPr>
        <w:t>）做市品种的主力合约达到涨跌停板价格时，做市商可以不对该品种所有做市合约报价；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4</w:t>
      </w:r>
      <w:r>
        <w:rPr>
          <w:rFonts w:ascii="Times New Roman" w:eastAsia="方正仿宋简体" w:hAnsi="Times New Roman" w:hint="eastAsia"/>
          <w:sz w:val="30"/>
          <w:szCs w:val="30"/>
        </w:rPr>
        <w:t>）交易所认定的其他情形。</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上述情形消失后，做市商应当继续履行相应的做市义务。</w:t>
      </w:r>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30" w:name="_Toc159596058"/>
      <w:r>
        <w:rPr>
          <w:rFonts w:ascii="方正仿宋简体" w:eastAsia="方正仿宋简体" w:hAnsi="方正仿宋简体" w:cs="方正仿宋简体" w:hint="eastAsia"/>
          <w:b/>
          <w:bCs/>
          <w:sz w:val="30"/>
          <w:szCs w:val="30"/>
        </w:rPr>
        <w:t>（二）期权做市商</w:t>
      </w:r>
      <w:bookmarkEnd w:id="30"/>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期权做市商需使用</w:t>
      </w:r>
      <w:r>
        <w:rPr>
          <w:rFonts w:ascii="Times New Roman" w:eastAsia="方正仿宋简体" w:hAnsi="Times New Roman"/>
          <w:sz w:val="30"/>
          <w:szCs w:val="30"/>
        </w:rPr>
        <w:t>双边</w:t>
      </w:r>
      <w:r>
        <w:rPr>
          <w:rFonts w:ascii="Times New Roman" w:eastAsia="方正仿宋简体" w:hAnsi="Times New Roman" w:hint="eastAsia"/>
          <w:sz w:val="30"/>
          <w:szCs w:val="30"/>
        </w:rPr>
        <w:t>报价</w:t>
      </w:r>
      <w:r>
        <w:rPr>
          <w:rFonts w:ascii="Times New Roman" w:eastAsia="方正仿宋简体" w:hAnsi="Times New Roman"/>
          <w:sz w:val="30"/>
          <w:szCs w:val="30"/>
        </w:rPr>
        <w:t>指令</w:t>
      </w:r>
      <w:r>
        <w:rPr>
          <w:rFonts w:ascii="Times New Roman" w:eastAsia="方正仿宋简体" w:hAnsi="Times New Roman" w:hint="eastAsia"/>
          <w:sz w:val="30"/>
          <w:szCs w:val="30"/>
        </w:rPr>
        <w:t>履行持续报价和回应报价义务。</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1.</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持续报价</w:t>
      </w:r>
      <w:r>
        <w:rPr>
          <w:rFonts w:ascii="Times New Roman" w:eastAsia="方正仿宋简体" w:hAnsi="Times New Roman"/>
          <w:b/>
          <w:sz w:val="30"/>
          <w:szCs w:val="30"/>
        </w:rPr>
        <w:t>义务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做市商需要为做市期权品种相应持续报价月份的平值及其邻近的看涨期权和看跌期权合约提供持续</w:t>
      </w:r>
      <w:r>
        <w:rPr>
          <w:rFonts w:ascii="Times New Roman" w:eastAsia="方正仿宋简体" w:hAnsi="Times New Roman"/>
          <w:sz w:val="30"/>
          <w:szCs w:val="30"/>
        </w:rPr>
        <w:t>报价</w:t>
      </w:r>
      <w:r>
        <w:rPr>
          <w:rFonts w:ascii="Times New Roman" w:eastAsia="方正仿宋简体" w:hAnsi="Times New Roman" w:hint="eastAsia"/>
          <w:sz w:val="30"/>
          <w:szCs w:val="30"/>
        </w:rPr>
        <w:t>，具体报价月份和合约以</w:t>
      </w:r>
      <w:r>
        <w:rPr>
          <w:rFonts w:ascii="Times New Roman" w:eastAsia="方正仿宋简体" w:hAnsi="Times New Roman"/>
          <w:sz w:val="30"/>
          <w:szCs w:val="30"/>
        </w:rPr>
        <w:t>做市商协议约定</w:t>
      </w:r>
      <w:r>
        <w:rPr>
          <w:rFonts w:ascii="Times New Roman" w:eastAsia="方正仿宋简体" w:hAnsi="Times New Roman" w:hint="eastAsia"/>
          <w:sz w:val="30"/>
          <w:szCs w:val="30"/>
        </w:rPr>
        <w:t>和交易所</w:t>
      </w:r>
      <w:r>
        <w:rPr>
          <w:rFonts w:ascii="Times New Roman" w:eastAsia="方正仿宋简体" w:hAnsi="Times New Roman"/>
          <w:sz w:val="30"/>
          <w:szCs w:val="30"/>
        </w:rPr>
        <w:t>通知为准。</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在一个规定时间段内，做市商有效持续报价时间比应当不低于交易所最低要求。有效持续报价时间比，是指在需履行持续报价义务的所有合约上做市商报价提供有效持续报价的时间总和与交易时间总和的比例。</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有效持续报价应当同时满足以下两个条件：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1</w:t>
      </w:r>
      <w:r>
        <w:rPr>
          <w:rFonts w:ascii="Times New Roman" w:eastAsia="方正仿宋简体" w:hAnsi="Times New Roman" w:hint="eastAsia"/>
          <w:sz w:val="30"/>
          <w:szCs w:val="30"/>
        </w:rPr>
        <w:t>）双边报价的手数均不小于规定</w:t>
      </w:r>
      <w:r>
        <w:rPr>
          <w:rFonts w:ascii="Times New Roman" w:eastAsia="方正仿宋简体" w:hAnsi="Times New Roman"/>
          <w:sz w:val="30"/>
          <w:szCs w:val="30"/>
        </w:rPr>
        <w:t>的</w:t>
      </w:r>
      <w:r>
        <w:rPr>
          <w:rFonts w:ascii="Times New Roman" w:eastAsia="方正仿宋简体" w:hAnsi="Times New Roman" w:hint="eastAsia"/>
          <w:sz w:val="30"/>
          <w:szCs w:val="30"/>
        </w:rPr>
        <w:t>最小</w:t>
      </w:r>
      <w:r>
        <w:rPr>
          <w:rFonts w:ascii="Times New Roman" w:eastAsia="方正仿宋简体" w:hAnsi="Times New Roman"/>
          <w:sz w:val="30"/>
          <w:szCs w:val="30"/>
        </w:rPr>
        <w:t>报价</w:t>
      </w:r>
      <w:r>
        <w:rPr>
          <w:rFonts w:ascii="Times New Roman" w:eastAsia="方正仿宋简体" w:hAnsi="Times New Roman" w:hint="eastAsia"/>
          <w:sz w:val="30"/>
          <w:szCs w:val="30"/>
        </w:rPr>
        <w:t>数量；</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2</w:t>
      </w:r>
      <w:r>
        <w:rPr>
          <w:rFonts w:ascii="Times New Roman" w:eastAsia="方正仿宋简体" w:hAnsi="Times New Roman" w:hint="eastAsia"/>
          <w:sz w:val="30"/>
          <w:szCs w:val="30"/>
        </w:rPr>
        <w:t>）双边</w:t>
      </w:r>
      <w:r>
        <w:rPr>
          <w:rFonts w:ascii="Times New Roman" w:eastAsia="方正仿宋简体" w:hAnsi="Times New Roman"/>
          <w:sz w:val="30"/>
          <w:szCs w:val="30"/>
        </w:rPr>
        <w:t>报价</w:t>
      </w:r>
      <w:r>
        <w:rPr>
          <w:rFonts w:ascii="Times New Roman" w:eastAsia="方正仿宋简体" w:hAnsi="Times New Roman" w:hint="eastAsia"/>
          <w:sz w:val="30"/>
          <w:szCs w:val="30"/>
        </w:rPr>
        <w:t>的买卖</w:t>
      </w:r>
      <w:r>
        <w:rPr>
          <w:rFonts w:ascii="Times New Roman" w:eastAsia="方正仿宋简体" w:hAnsi="Times New Roman"/>
          <w:sz w:val="30"/>
          <w:szCs w:val="30"/>
        </w:rPr>
        <w:t>价差</w:t>
      </w:r>
      <w:r>
        <w:rPr>
          <w:rFonts w:ascii="Times New Roman" w:eastAsia="方正仿宋简体" w:hAnsi="Times New Roman" w:hint="eastAsia"/>
          <w:sz w:val="30"/>
          <w:szCs w:val="30"/>
        </w:rPr>
        <w:t>不大于规定</w:t>
      </w:r>
      <w:r>
        <w:rPr>
          <w:rFonts w:ascii="Times New Roman" w:eastAsia="方正仿宋简体" w:hAnsi="Times New Roman"/>
          <w:sz w:val="30"/>
          <w:szCs w:val="30"/>
        </w:rPr>
        <w:t>的</w:t>
      </w:r>
      <w:r>
        <w:rPr>
          <w:rFonts w:ascii="Times New Roman" w:eastAsia="方正仿宋简体" w:hAnsi="Times New Roman" w:hint="eastAsia"/>
          <w:sz w:val="30"/>
          <w:szCs w:val="30"/>
        </w:rPr>
        <w:t>最大</w:t>
      </w:r>
      <w:r>
        <w:rPr>
          <w:rFonts w:ascii="Times New Roman" w:eastAsia="方正仿宋简体" w:hAnsi="Times New Roman"/>
          <w:sz w:val="30"/>
          <w:szCs w:val="30"/>
        </w:rPr>
        <w:t>买卖</w:t>
      </w:r>
      <w:r>
        <w:rPr>
          <w:rFonts w:ascii="Times New Roman" w:eastAsia="方正仿宋简体" w:hAnsi="Times New Roman" w:hint="eastAsia"/>
          <w:sz w:val="30"/>
          <w:szCs w:val="30"/>
        </w:rPr>
        <w:t>价差。</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b/>
          <w:sz w:val="30"/>
          <w:szCs w:val="30"/>
        </w:rPr>
        <w:t>2</w:t>
      </w:r>
      <w:r>
        <w:rPr>
          <w:rFonts w:ascii="Times New Roman" w:eastAsia="方正仿宋简体" w:hAnsi="Times New Roman" w:hint="eastAsia"/>
          <w:b/>
          <w:sz w:val="30"/>
          <w:szCs w:val="30"/>
        </w:rPr>
        <w:t>.</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回应报价</w:t>
      </w:r>
      <w:r>
        <w:rPr>
          <w:rFonts w:ascii="Times New Roman" w:eastAsia="方正仿宋简体" w:hAnsi="Times New Roman"/>
          <w:b/>
          <w:sz w:val="30"/>
          <w:szCs w:val="30"/>
        </w:rPr>
        <w:t>义务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做市商需要为</w:t>
      </w:r>
      <w:r>
        <w:rPr>
          <w:rFonts w:ascii="Times New Roman" w:eastAsia="方正仿宋简体" w:hAnsi="Times New Roman"/>
          <w:sz w:val="30"/>
          <w:szCs w:val="30"/>
        </w:rPr>
        <w:t>做市商协议约定</w:t>
      </w:r>
      <w:r>
        <w:rPr>
          <w:rFonts w:ascii="Times New Roman" w:eastAsia="方正仿宋简体" w:hAnsi="Times New Roman" w:hint="eastAsia"/>
          <w:sz w:val="30"/>
          <w:szCs w:val="30"/>
        </w:rPr>
        <w:t>和交易所指定的期权</w:t>
      </w:r>
      <w:r>
        <w:rPr>
          <w:rFonts w:ascii="Times New Roman" w:eastAsia="方正仿宋简体" w:hAnsi="Times New Roman"/>
          <w:sz w:val="30"/>
          <w:szCs w:val="30"/>
        </w:rPr>
        <w:t>合约</w:t>
      </w:r>
      <w:r>
        <w:rPr>
          <w:rFonts w:ascii="Times New Roman" w:eastAsia="方正仿宋简体" w:hAnsi="Times New Roman" w:hint="eastAsia"/>
          <w:sz w:val="30"/>
          <w:szCs w:val="30"/>
        </w:rPr>
        <w:t>的</w:t>
      </w:r>
      <w:r>
        <w:rPr>
          <w:rFonts w:ascii="Times New Roman" w:eastAsia="方正仿宋简体" w:hAnsi="Times New Roman"/>
          <w:sz w:val="30"/>
          <w:szCs w:val="30"/>
        </w:rPr>
        <w:t>询价请求</w:t>
      </w:r>
      <w:r>
        <w:rPr>
          <w:rFonts w:ascii="Times New Roman" w:eastAsia="方正仿宋简体" w:hAnsi="Times New Roman" w:hint="eastAsia"/>
          <w:sz w:val="30"/>
          <w:szCs w:val="30"/>
        </w:rPr>
        <w:t>提供</w:t>
      </w:r>
      <w:r>
        <w:rPr>
          <w:rFonts w:ascii="Times New Roman" w:eastAsia="方正仿宋简体" w:hAnsi="Times New Roman"/>
          <w:sz w:val="30"/>
          <w:szCs w:val="30"/>
        </w:rPr>
        <w:t>回应</w:t>
      </w:r>
      <w:r>
        <w:rPr>
          <w:rFonts w:ascii="Times New Roman" w:eastAsia="方正仿宋简体" w:hAnsi="Times New Roman" w:hint="eastAsia"/>
          <w:sz w:val="30"/>
          <w:szCs w:val="30"/>
        </w:rPr>
        <w:t>报价</w:t>
      </w:r>
      <w:r>
        <w:rPr>
          <w:rFonts w:ascii="Times New Roman" w:eastAsia="方正仿宋简体" w:hAnsi="Times New Roman"/>
          <w:sz w:val="30"/>
          <w:szCs w:val="30"/>
        </w:rPr>
        <w:t>。</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在一个规定时间段内，做市商有效回应询价比应当不低于交易所最低要求。有效回应询价比，是指在需要履行回应报价义务的所有合约上做市商有效回应报价次数总和与询价请求次数总和的比例。</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有效回应报价应当同时满足交易所指定</w:t>
      </w:r>
      <w:r>
        <w:rPr>
          <w:rFonts w:ascii="Times New Roman" w:eastAsia="方正仿宋简体" w:hAnsi="Times New Roman"/>
          <w:sz w:val="30"/>
          <w:szCs w:val="30"/>
        </w:rPr>
        <w:t>的</w:t>
      </w:r>
      <w:r>
        <w:rPr>
          <w:rFonts w:ascii="Times New Roman" w:eastAsia="方正仿宋简体" w:hAnsi="Times New Roman" w:hint="eastAsia"/>
          <w:sz w:val="30"/>
          <w:szCs w:val="30"/>
        </w:rPr>
        <w:t>响应</w:t>
      </w:r>
      <w:r>
        <w:rPr>
          <w:rFonts w:ascii="Times New Roman" w:eastAsia="方正仿宋简体" w:hAnsi="Times New Roman"/>
          <w:sz w:val="30"/>
          <w:szCs w:val="30"/>
        </w:rPr>
        <w:t>时间、</w:t>
      </w:r>
      <w:r>
        <w:rPr>
          <w:rFonts w:ascii="Times New Roman" w:eastAsia="方正仿宋简体" w:hAnsi="Times New Roman" w:hint="eastAsia"/>
          <w:sz w:val="30"/>
          <w:szCs w:val="30"/>
        </w:rPr>
        <w:t>持续</w:t>
      </w:r>
      <w:r>
        <w:rPr>
          <w:rFonts w:ascii="Times New Roman" w:eastAsia="方正仿宋简体" w:hAnsi="Times New Roman"/>
          <w:sz w:val="30"/>
          <w:szCs w:val="30"/>
        </w:rPr>
        <w:t>时间</w:t>
      </w:r>
      <w:r>
        <w:rPr>
          <w:rFonts w:ascii="Times New Roman" w:eastAsia="方正仿宋简体" w:hAnsi="Times New Roman" w:hint="eastAsia"/>
          <w:sz w:val="30"/>
          <w:szCs w:val="30"/>
        </w:rPr>
        <w:t>、</w:t>
      </w:r>
      <w:r>
        <w:rPr>
          <w:rFonts w:ascii="Times New Roman" w:eastAsia="方正仿宋简体" w:hAnsi="Times New Roman"/>
          <w:sz w:val="30"/>
          <w:szCs w:val="30"/>
        </w:rPr>
        <w:t>最大买卖价差</w:t>
      </w:r>
      <w:r>
        <w:rPr>
          <w:rFonts w:ascii="Times New Roman" w:eastAsia="方正仿宋简体" w:hAnsi="Times New Roman" w:hint="eastAsia"/>
          <w:sz w:val="30"/>
          <w:szCs w:val="30"/>
        </w:rPr>
        <w:t>和</w:t>
      </w:r>
      <w:r>
        <w:rPr>
          <w:rFonts w:ascii="Times New Roman" w:eastAsia="方正仿宋简体" w:hAnsi="Times New Roman"/>
          <w:sz w:val="30"/>
          <w:szCs w:val="30"/>
        </w:rPr>
        <w:t>最小报价</w:t>
      </w:r>
      <w:r>
        <w:rPr>
          <w:rFonts w:ascii="Times New Roman" w:eastAsia="方正仿宋简体" w:hAnsi="Times New Roman" w:hint="eastAsia"/>
          <w:sz w:val="30"/>
          <w:szCs w:val="30"/>
        </w:rPr>
        <w:t>数量等条件。</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b/>
          <w:sz w:val="30"/>
          <w:szCs w:val="30"/>
        </w:rPr>
        <w:t>3</w:t>
      </w:r>
      <w:r>
        <w:rPr>
          <w:rFonts w:ascii="Times New Roman" w:eastAsia="方正仿宋简体" w:hAnsi="Times New Roman" w:hint="eastAsia"/>
          <w:b/>
          <w:sz w:val="30"/>
          <w:szCs w:val="30"/>
        </w:rPr>
        <w:t>.</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报价</w:t>
      </w:r>
      <w:r>
        <w:rPr>
          <w:rFonts w:ascii="Times New Roman" w:eastAsia="方正仿宋简体" w:hAnsi="Times New Roman"/>
          <w:b/>
          <w:sz w:val="30"/>
          <w:szCs w:val="30"/>
        </w:rPr>
        <w:t>义务</w:t>
      </w:r>
      <w:r>
        <w:rPr>
          <w:rFonts w:ascii="Times New Roman" w:eastAsia="方正仿宋简体" w:hAnsi="Times New Roman" w:hint="eastAsia"/>
          <w:b/>
          <w:sz w:val="30"/>
          <w:szCs w:val="30"/>
        </w:rPr>
        <w:t>豁免</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出现下列情形之一的，期权做市商可以不履行报价义务：</w:t>
      </w:r>
    </w:p>
    <w:p w:rsidR="00753452" w:rsidRDefault="00353A98">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1</w:t>
      </w:r>
      <w:r>
        <w:rPr>
          <w:rFonts w:ascii="Times New Roman" w:eastAsia="方正仿宋简体" w:hAnsi="Times New Roman" w:hint="eastAsia"/>
          <w:kern w:val="0"/>
          <w:sz w:val="30"/>
          <w:szCs w:val="30"/>
        </w:rPr>
        <w:t>）期权合约集合竞价期间，做市商可以不对所有期权合约报价；</w:t>
      </w:r>
    </w:p>
    <w:p w:rsidR="00753452" w:rsidRDefault="00353A98">
      <w:pPr>
        <w:ind w:firstLine="600"/>
        <w:rPr>
          <w:rFonts w:ascii="Times New Roman" w:eastAsia="方正仿宋简体" w:hAnsi="Times New Roman"/>
          <w:kern w:val="0"/>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2</w:t>
      </w:r>
      <w:r>
        <w:rPr>
          <w:rFonts w:ascii="Times New Roman" w:eastAsia="方正仿宋简体" w:hAnsi="Times New Roman" w:hint="eastAsia"/>
          <w:kern w:val="0"/>
          <w:sz w:val="30"/>
          <w:szCs w:val="30"/>
        </w:rPr>
        <w:t>）标的期货合约达到涨跌停板价格时，做市商可以不对相应月份所有期权合约报价；</w:t>
      </w:r>
    </w:p>
    <w:p w:rsidR="00753452" w:rsidRDefault="00353A98">
      <w:pPr>
        <w:spacing w:line="560" w:lineRule="exact"/>
        <w:ind w:firstLineChars="200" w:firstLine="600"/>
        <w:rPr>
          <w:rFonts w:ascii="Times New Roman" w:eastAsia="方正仿宋简体" w:hAnsi="Times New Roman"/>
          <w:kern w:val="0"/>
          <w:sz w:val="30"/>
          <w:szCs w:val="30"/>
        </w:rPr>
      </w:pPr>
      <w:r>
        <w:rPr>
          <w:rFonts w:ascii="Times New Roman" w:eastAsia="方正仿宋简体" w:hAnsi="Times New Roman"/>
          <w:kern w:val="0"/>
          <w:sz w:val="30"/>
          <w:szCs w:val="30"/>
        </w:rPr>
        <w:t>（</w:t>
      </w:r>
      <w:r>
        <w:rPr>
          <w:rFonts w:ascii="Times New Roman" w:eastAsia="方正仿宋简体" w:hAnsi="Times New Roman" w:hint="eastAsia"/>
          <w:kern w:val="0"/>
          <w:sz w:val="30"/>
          <w:szCs w:val="30"/>
        </w:rPr>
        <w:t>3</w:t>
      </w:r>
      <w:r>
        <w:rPr>
          <w:rFonts w:ascii="Times New Roman" w:eastAsia="方正仿宋简体" w:hAnsi="Times New Roman"/>
          <w:kern w:val="0"/>
          <w:sz w:val="30"/>
          <w:szCs w:val="30"/>
        </w:rPr>
        <w:t>）</w:t>
      </w:r>
      <w:r>
        <w:rPr>
          <w:rFonts w:ascii="Times New Roman" w:eastAsia="方正仿宋简体" w:hAnsi="Times New Roman" w:hint="eastAsia"/>
          <w:kern w:val="0"/>
          <w:sz w:val="30"/>
          <w:szCs w:val="30"/>
        </w:rPr>
        <w:t>期权合约达到涨跌停板价格时，做市商可以不对该期权合约报价；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kern w:val="0"/>
          <w:sz w:val="30"/>
          <w:szCs w:val="30"/>
        </w:rPr>
        <w:t>（</w:t>
      </w:r>
      <w:r>
        <w:rPr>
          <w:rFonts w:ascii="Times New Roman" w:eastAsia="方正仿宋简体" w:hAnsi="Times New Roman" w:hint="eastAsia"/>
          <w:kern w:val="0"/>
          <w:sz w:val="30"/>
          <w:szCs w:val="30"/>
        </w:rPr>
        <w:t>4</w:t>
      </w:r>
      <w:r>
        <w:rPr>
          <w:rFonts w:ascii="Times New Roman" w:eastAsia="方正仿宋简体" w:hAnsi="Times New Roman" w:hint="eastAsia"/>
          <w:kern w:val="0"/>
          <w:sz w:val="30"/>
          <w:szCs w:val="30"/>
        </w:rPr>
        <w:t>）</w:t>
      </w:r>
      <w:r>
        <w:rPr>
          <w:rFonts w:ascii="Times New Roman" w:eastAsia="方正仿宋简体" w:hAnsi="Times New Roman"/>
          <w:kern w:val="0"/>
          <w:sz w:val="30"/>
          <w:szCs w:val="30"/>
        </w:rPr>
        <w:t>期权合约的价格低于</w:t>
      </w:r>
      <w:r>
        <w:rPr>
          <w:rFonts w:ascii="Times New Roman" w:eastAsia="方正仿宋简体" w:hAnsi="Times New Roman" w:hint="eastAsia"/>
          <w:kern w:val="0"/>
          <w:sz w:val="30"/>
          <w:szCs w:val="30"/>
        </w:rPr>
        <w:t>做市商</w:t>
      </w:r>
      <w:r>
        <w:rPr>
          <w:rFonts w:ascii="Times New Roman" w:eastAsia="方正仿宋简体" w:hAnsi="Times New Roman"/>
          <w:kern w:val="0"/>
          <w:sz w:val="30"/>
          <w:szCs w:val="30"/>
        </w:rPr>
        <w:t>协议约定标准时，做市商可以不对该期权合约报价；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w:t>
      </w:r>
      <w:r>
        <w:rPr>
          <w:rFonts w:ascii="Times New Roman" w:eastAsia="方正仿宋简体" w:hAnsi="Times New Roman" w:hint="eastAsia"/>
          <w:sz w:val="30"/>
          <w:szCs w:val="30"/>
        </w:rPr>
        <w:t>5</w:t>
      </w:r>
      <w:r>
        <w:rPr>
          <w:rFonts w:ascii="Times New Roman" w:eastAsia="方正仿宋简体" w:hAnsi="Times New Roman" w:hint="eastAsia"/>
          <w:sz w:val="30"/>
          <w:szCs w:val="30"/>
        </w:rPr>
        <w:t>）交易所认定的其他情形。</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上述情形消失后，做市商应当继续履行相应的做市义务。</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31" w:name="_Toc159596059"/>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做市商权利</w:t>
      </w:r>
      <w:bookmarkEnd w:id="31"/>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32" w:name="_Toc159596060"/>
      <w:r>
        <w:rPr>
          <w:rFonts w:ascii="方正仿宋简体" w:eastAsia="方正仿宋简体" w:hAnsi="方正仿宋简体" w:cs="方正仿宋简体" w:hint="eastAsia"/>
          <w:b/>
          <w:bCs/>
          <w:sz w:val="30"/>
          <w:szCs w:val="30"/>
        </w:rPr>
        <w:t>（一）频繁报撤单豁免</w:t>
      </w:r>
      <w:bookmarkEnd w:id="32"/>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做市商因做市交易产生的频繁报撤单行为不构成异常交易行为。</w:t>
      </w:r>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33" w:name="_Toc159596061"/>
      <w:r>
        <w:rPr>
          <w:rFonts w:ascii="方正仿宋简体" w:eastAsia="方正仿宋简体" w:hAnsi="方正仿宋简体" w:cs="方正仿宋简体" w:hint="eastAsia"/>
          <w:b/>
          <w:bCs/>
          <w:sz w:val="30"/>
          <w:szCs w:val="30"/>
        </w:rPr>
        <w:t>（二）申报收费豁免</w:t>
      </w:r>
      <w:bookmarkEnd w:id="33"/>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做市商做市交易免收申报费。</w:t>
      </w:r>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34" w:name="_Toc159596062"/>
      <w:r>
        <w:rPr>
          <w:rFonts w:ascii="方正仿宋简体" w:eastAsia="方正仿宋简体" w:hAnsi="方正仿宋简体" w:cs="方正仿宋简体" w:hint="eastAsia"/>
          <w:b/>
          <w:bCs/>
          <w:sz w:val="30"/>
          <w:szCs w:val="30"/>
        </w:rPr>
        <w:t>（三）持仓限额豁免</w:t>
      </w:r>
      <w:bookmarkEnd w:id="34"/>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做市商因履行做市义务需要，可以在持仓限额基础上申请增加持仓额度。</w:t>
      </w:r>
    </w:p>
    <w:p w:rsidR="00753452" w:rsidRDefault="00353A98">
      <w:pPr>
        <w:spacing w:line="560" w:lineRule="exact"/>
        <w:ind w:firstLineChars="200" w:firstLine="602"/>
        <w:outlineLvl w:val="2"/>
        <w:rPr>
          <w:rFonts w:ascii="方正仿宋简体" w:eastAsia="方正仿宋简体" w:hAnsi="方正仿宋简体" w:cs="方正仿宋简体"/>
          <w:b/>
          <w:bCs/>
          <w:sz w:val="30"/>
          <w:szCs w:val="30"/>
        </w:rPr>
      </w:pPr>
      <w:bookmarkStart w:id="35" w:name="_Toc159596063"/>
      <w:r>
        <w:rPr>
          <w:rFonts w:ascii="方正仿宋简体" w:eastAsia="方正仿宋简体" w:hAnsi="方正仿宋简体" w:cs="方正仿宋简体" w:hint="eastAsia"/>
          <w:b/>
          <w:bCs/>
          <w:sz w:val="30"/>
          <w:szCs w:val="30"/>
        </w:rPr>
        <w:t>（四）交易手续费减免、激励</w:t>
      </w:r>
      <w:bookmarkEnd w:id="35"/>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根据协议约定和做市情况，交易所可以给予做市商交易手续费减免、激励等。</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1.</w:t>
      </w:r>
      <w:r>
        <w:rPr>
          <w:rFonts w:ascii="Times New Roman" w:eastAsia="方正仿宋简体" w:hAnsi="Times New Roman"/>
          <w:b/>
          <w:sz w:val="30"/>
          <w:szCs w:val="30"/>
        </w:rPr>
        <w:t xml:space="preserve"> </w:t>
      </w:r>
      <w:r>
        <w:rPr>
          <w:rFonts w:ascii="Times New Roman" w:eastAsia="方正仿宋简体" w:hAnsi="Times New Roman" w:hint="eastAsia"/>
          <w:b/>
          <w:sz w:val="30"/>
          <w:szCs w:val="30"/>
        </w:rPr>
        <w:t>期货做市商</w:t>
      </w:r>
    </w:p>
    <w:p w:rsidR="00753452" w:rsidRDefault="00353A98">
      <w:pPr>
        <w:spacing w:line="560" w:lineRule="exact"/>
        <w:ind w:firstLineChars="200" w:firstLine="602"/>
        <w:rPr>
          <w:rFonts w:ascii="Times New Roman" w:eastAsia="方正仿宋简体" w:hAnsi="Times New Roman"/>
          <w:b/>
          <w:bCs/>
          <w:sz w:val="30"/>
          <w:szCs w:val="30"/>
        </w:rPr>
      </w:pPr>
      <w:r>
        <w:rPr>
          <w:rFonts w:ascii="Times New Roman" w:eastAsia="方正仿宋简体" w:hAnsi="Times New Roman" w:hint="eastAsia"/>
          <w:b/>
          <w:bCs/>
          <w:sz w:val="30"/>
          <w:szCs w:val="30"/>
        </w:rPr>
        <w:t>（</w:t>
      </w:r>
      <w:r>
        <w:rPr>
          <w:rFonts w:ascii="Times New Roman" w:eastAsia="方正仿宋简体" w:hAnsi="Times New Roman" w:hint="eastAsia"/>
          <w:b/>
          <w:bCs/>
          <w:sz w:val="30"/>
          <w:szCs w:val="30"/>
        </w:rPr>
        <w:t>1</w:t>
      </w:r>
      <w:r>
        <w:rPr>
          <w:rFonts w:ascii="Times New Roman" w:eastAsia="方正仿宋简体" w:hAnsi="Times New Roman" w:hint="eastAsia"/>
          <w:b/>
          <w:bCs/>
          <w:sz w:val="30"/>
          <w:szCs w:val="30"/>
        </w:rPr>
        <w:t>）交易手续费减免</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w:t>
      </w:r>
      <w:r>
        <w:rPr>
          <w:rFonts w:ascii="Times New Roman" w:eastAsia="方正仿宋简体" w:hAnsi="Times New Roman"/>
          <w:sz w:val="30"/>
          <w:szCs w:val="30"/>
        </w:rPr>
        <w:t>可以</w:t>
      </w:r>
      <w:r>
        <w:rPr>
          <w:rFonts w:ascii="Times New Roman" w:eastAsia="方正仿宋简体" w:hAnsi="Times New Roman" w:hint="eastAsia"/>
          <w:sz w:val="30"/>
          <w:szCs w:val="30"/>
        </w:rPr>
        <w:t>减免做市商</w:t>
      </w:r>
      <w:r>
        <w:rPr>
          <w:rFonts w:ascii="Times New Roman" w:eastAsia="方正仿宋简体" w:hAnsi="Times New Roman"/>
          <w:sz w:val="30"/>
          <w:szCs w:val="30"/>
        </w:rPr>
        <w:t>在</w:t>
      </w:r>
      <w:r>
        <w:rPr>
          <w:rFonts w:ascii="Times New Roman" w:eastAsia="方正仿宋简体" w:hAnsi="Times New Roman" w:hint="eastAsia"/>
          <w:sz w:val="30"/>
          <w:szCs w:val="30"/>
        </w:rPr>
        <w:t>做市期货品种上的交易手续费。具体减免比例以做市商协议约定和交易所通知为准。</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w:t>
      </w:r>
      <w:r>
        <w:rPr>
          <w:rFonts w:ascii="Times New Roman" w:eastAsia="方正仿宋简体" w:hAnsi="Times New Roman" w:hint="eastAsia"/>
          <w:b/>
          <w:sz w:val="30"/>
          <w:szCs w:val="30"/>
        </w:rPr>
        <w:t>2</w:t>
      </w:r>
      <w:r>
        <w:rPr>
          <w:rFonts w:ascii="Times New Roman" w:eastAsia="方正仿宋简体" w:hAnsi="Times New Roman" w:hint="eastAsia"/>
          <w:b/>
          <w:sz w:val="30"/>
          <w:szCs w:val="30"/>
        </w:rPr>
        <w:t>）激励</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除交易手续费减免外，交易所基于做市商在做市合约上的报价、成交及持仓情况，可以</w:t>
      </w:r>
      <w:r>
        <w:rPr>
          <w:rFonts w:ascii="Times New Roman" w:eastAsia="方正仿宋简体" w:hAnsi="Times New Roman"/>
          <w:sz w:val="30"/>
          <w:szCs w:val="30"/>
        </w:rPr>
        <w:t>对</w:t>
      </w:r>
      <w:r>
        <w:rPr>
          <w:rFonts w:ascii="Times New Roman" w:eastAsia="方正仿宋简体" w:hAnsi="Times New Roman" w:hint="eastAsia"/>
          <w:sz w:val="30"/>
          <w:szCs w:val="30"/>
        </w:rPr>
        <w:t>满足完成</w:t>
      </w:r>
      <w:r>
        <w:rPr>
          <w:rFonts w:ascii="Times New Roman" w:eastAsia="方正仿宋简体" w:hAnsi="Times New Roman"/>
          <w:sz w:val="30"/>
          <w:szCs w:val="30"/>
        </w:rPr>
        <w:t>义务</w:t>
      </w:r>
      <w:r>
        <w:rPr>
          <w:rFonts w:ascii="Times New Roman" w:eastAsia="方正仿宋简体" w:hAnsi="Times New Roman" w:hint="eastAsia"/>
          <w:sz w:val="30"/>
          <w:szCs w:val="30"/>
        </w:rPr>
        <w:t>等</w:t>
      </w:r>
      <w:r>
        <w:rPr>
          <w:rFonts w:ascii="Times New Roman" w:eastAsia="方正仿宋简体" w:hAnsi="Times New Roman"/>
          <w:sz w:val="30"/>
          <w:szCs w:val="30"/>
        </w:rPr>
        <w:t>要求的做市商</w:t>
      </w:r>
      <w:r>
        <w:rPr>
          <w:rFonts w:ascii="Times New Roman" w:eastAsia="方正仿宋简体" w:hAnsi="Times New Roman" w:hint="eastAsia"/>
          <w:sz w:val="30"/>
          <w:szCs w:val="30"/>
        </w:rPr>
        <w:t>设置相应的激励。具体激励额度以做市商协议约定和交易所通知为准，各类激励计算规则如下：</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①报价激励</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在某一做市品种上，交易所根据做市商在做市合约上的有效双边报价价差、有效双边报价持续时间比例综合计算报价激励额度。有效双边报价价差越窄、持续时间比例越高，获得的报价激励额度越多。</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②成交、持仓激励</w:t>
      </w:r>
    </w:p>
    <w:p w:rsidR="00753452" w:rsidRDefault="00353A98">
      <w:pPr>
        <w:spacing w:line="560" w:lineRule="exact"/>
        <w:ind w:firstLineChars="200" w:firstLine="600"/>
        <w:rPr>
          <w:rFonts w:ascii="Times New Roman" w:eastAsia="方正仿宋简体" w:hAnsi="Times New Roman"/>
          <w:sz w:val="30"/>
          <w:szCs w:val="30"/>
          <w:highlight w:val="yellow"/>
        </w:rPr>
      </w:pPr>
      <w:r>
        <w:rPr>
          <w:rFonts w:ascii="Times New Roman" w:eastAsia="方正仿宋简体" w:hAnsi="Times New Roman" w:hint="eastAsia"/>
          <w:sz w:val="30"/>
          <w:szCs w:val="30"/>
        </w:rPr>
        <w:t>在某一做市品种上，交易所根据做市商在做市合约上的成交、持仓占全部</w:t>
      </w:r>
      <w:r>
        <w:rPr>
          <w:rFonts w:ascii="Times New Roman" w:eastAsia="方正仿宋简体" w:hAnsi="Times New Roman"/>
          <w:sz w:val="30"/>
          <w:szCs w:val="30"/>
        </w:rPr>
        <w:t>做市商</w:t>
      </w:r>
      <w:r>
        <w:rPr>
          <w:rFonts w:ascii="Times New Roman" w:eastAsia="方正仿宋简体" w:hAnsi="Times New Roman" w:hint="eastAsia"/>
          <w:sz w:val="30"/>
          <w:szCs w:val="30"/>
        </w:rPr>
        <w:t>成交、</w:t>
      </w:r>
      <w:r>
        <w:rPr>
          <w:rFonts w:ascii="Times New Roman" w:eastAsia="方正仿宋简体" w:hAnsi="Times New Roman"/>
          <w:sz w:val="30"/>
          <w:szCs w:val="30"/>
        </w:rPr>
        <w:t>持仓</w:t>
      </w:r>
      <w:r>
        <w:rPr>
          <w:rFonts w:ascii="Times New Roman" w:eastAsia="方正仿宋简体" w:hAnsi="Times New Roman" w:hint="eastAsia"/>
          <w:sz w:val="30"/>
          <w:szCs w:val="30"/>
        </w:rPr>
        <w:t>之比加权计算其成交、持仓激励额度。其中，成交量按照做市商被动成交量和其他成交量加权计算。做市商自成交及交易所认定的其他情况产生的成交量不计入统计。</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 xml:space="preserve">2. </w:t>
      </w:r>
      <w:r>
        <w:rPr>
          <w:rFonts w:ascii="Times New Roman" w:eastAsia="方正仿宋简体" w:hAnsi="Times New Roman" w:hint="eastAsia"/>
          <w:b/>
          <w:sz w:val="30"/>
          <w:szCs w:val="30"/>
        </w:rPr>
        <w:t>期权做市商</w:t>
      </w:r>
    </w:p>
    <w:p w:rsidR="00753452" w:rsidRDefault="00353A98">
      <w:pPr>
        <w:spacing w:line="560" w:lineRule="exact"/>
        <w:ind w:firstLineChars="200" w:firstLine="602"/>
        <w:rPr>
          <w:rFonts w:ascii="Times New Roman" w:eastAsia="方正仿宋简体" w:hAnsi="Times New Roman"/>
          <w:b/>
          <w:bCs/>
          <w:sz w:val="30"/>
          <w:szCs w:val="30"/>
        </w:rPr>
      </w:pPr>
      <w:r>
        <w:rPr>
          <w:rFonts w:ascii="Times New Roman" w:eastAsia="方正仿宋简体" w:hAnsi="Times New Roman" w:hint="eastAsia"/>
          <w:b/>
          <w:bCs/>
          <w:sz w:val="30"/>
          <w:szCs w:val="30"/>
        </w:rPr>
        <w:t>（</w:t>
      </w:r>
      <w:r>
        <w:rPr>
          <w:rFonts w:ascii="Times New Roman" w:eastAsia="方正仿宋简体" w:hAnsi="Times New Roman" w:hint="eastAsia"/>
          <w:b/>
          <w:bCs/>
          <w:sz w:val="30"/>
          <w:szCs w:val="30"/>
        </w:rPr>
        <w:t>1</w:t>
      </w:r>
      <w:r>
        <w:rPr>
          <w:rFonts w:ascii="Times New Roman" w:eastAsia="方正仿宋简体" w:hAnsi="Times New Roman" w:hint="eastAsia"/>
          <w:b/>
          <w:bCs/>
          <w:sz w:val="30"/>
          <w:szCs w:val="30"/>
        </w:rPr>
        <w:t>）交易手续费减免</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做市商在某一品种上满足完成义务等</w:t>
      </w:r>
      <w:r>
        <w:rPr>
          <w:rFonts w:ascii="Times New Roman" w:eastAsia="方正仿宋简体" w:hAnsi="Times New Roman"/>
          <w:sz w:val="30"/>
          <w:szCs w:val="30"/>
        </w:rPr>
        <w:t>要求</w:t>
      </w:r>
      <w:r>
        <w:rPr>
          <w:rFonts w:ascii="Times New Roman" w:eastAsia="方正仿宋简体" w:hAnsi="Times New Roman" w:hint="eastAsia"/>
          <w:sz w:val="30"/>
          <w:szCs w:val="30"/>
        </w:rPr>
        <w:t>的，交易所</w:t>
      </w:r>
      <w:r>
        <w:rPr>
          <w:rFonts w:ascii="Times New Roman" w:eastAsia="方正仿宋简体" w:hAnsi="Times New Roman"/>
          <w:sz w:val="30"/>
          <w:szCs w:val="30"/>
        </w:rPr>
        <w:t>可以减免</w:t>
      </w:r>
      <w:r>
        <w:rPr>
          <w:rFonts w:ascii="Times New Roman" w:eastAsia="方正仿宋简体" w:hAnsi="Times New Roman" w:hint="eastAsia"/>
          <w:sz w:val="30"/>
          <w:szCs w:val="30"/>
        </w:rPr>
        <w:t>其交易手续费：</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①减免做市期权品种上的交易手续费；</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②减免做市期权标的期货品种上的交易手续费（若</w:t>
      </w:r>
      <w:r>
        <w:rPr>
          <w:rFonts w:ascii="Times New Roman" w:eastAsia="方正仿宋简体" w:hAnsi="Times New Roman"/>
          <w:sz w:val="30"/>
          <w:szCs w:val="30"/>
        </w:rPr>
        <w:t>做市商</w:t>
      </w:r>
      <w:r>
        <w:rPr>
          <w:rFonts w:ascii="Times New Roman" w:eastAsia="方正仿宋简体" w:hAnsi="Times New Roman" w:hint="eastAsia"/>
          <w:sz w:val="30"/>
          <w:szCs w:val="30"/>
        </w:rPr>
        <w:t>在标的</w:t>
      </w:r>
      <w:r>
        <w:rPr>
          <w:rFonts w:ascii="Times New Roman" w:eastAsia="方正仿宋简体" w:hAnsi="Times New Roman"/>
          <w:sz w:val="30"/>
          <w:szCs w:val="30"/>
        </w:rPr>
        <w:t>期货</w:t>
      </w:r>
      <w:r>
        <w:rPr>
          <w:rFonts w:ascii="Times New Roman" w:eastAsia="方正仿宋简体" w:hAnsi="Times New Roman" w:hint="eastAsia"/>
          <w:sz w:val="30"/>
          <w:szCs w:val="30"/>
        </w:rPr>
        <w:t>品种上的</w:t>
      </w:r>
      <w:r>
        <w:rPr>
          <w:rFonts w:ascii="Times New Roman" w:eastAsia="方正仿宋简体" w:hAnsi="Times New Roman"/>
          <w:sz w:val="30"/>
          <w:szCs w:val="30"/>
        </w:rPr>
        <w:t>成交</w:t>
      </w:r>
      <w:r>
        <w:rPr>
          <w:rFonts w:ascii="Times New Roman" w:eastAsia="方正仿宋简体" w:hAnsi="Times New Roman" w:hint="eastAsia"/>
          <w:sz w:val="30"/>
          <w:szCs w:val="30"/>
        </w:rPr>
        <w:t>量超过做市期权品种上的</w:t>
      </w:r>
      <w:r>
        <w:rPr>
          <w:rFonts w:ascii="Times New Roman" w:eastAsia="方正仿宋简体" w:hAnsi="Times New Roman"/>
          <w:sz w:val="30"/>
          <w:szCs w:val="30"/>
        </w:rPr>
        <w:t>成交量，</w:t>
      </w:r>
      <w:r>
        <w:rPr>
          <w:rFonts w:ascii="Times New Roman" w:eastAsia="方正仿宋简体" w:hAnsi="Times New Roman" w:hint="eastAsia"/>
          <w:sz w:val="30"/>
          <w:szCs w:val="30"/>
        </w:rPr>
        <w:t>交易所可调整</w:t>
      </w:r>
      <w:r>
        <w:rPr>
          <w:rFonts w:ascii="Times New Roman" w:eastAsia="方正仿宋简体" w:hAnsi="Times New Roman"/>
          <w:sz w:val="30"/>
          <w:szCs w:val="30"/>
        </w:rPr>
        <w:t>或取消</w:t>
      </w:r>
      <w:r>
        <w:rPr>
          <w:rFonts w:ascii="Times New Roman" w:eastAsia="方正仿宋简体" w:hAnsi="Times New Roman" w:hint="eastAsia"/>
          <w:sz w:val="30"/>
          <w:szCs w:val="30"/>
        </w:rPr>
        <w:t>此项减免）。</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具体减免比例以做市商协议约定和交易所通知为准。未完成做市义务的做市商交易手续费不予减免。</w:t>
      </w:r>
    </w:p>
    <w:p w:rsidR="00753452" w:rsidRDefault="00353A98">
      <w:pPr>
        <w:spacing w:line="560" w:lineRule="exact"/>
        <w:ind w:firstLineChars="200" w:firstLine="602"/>
        <w:rPr>
          <w:rFonts w:ascii="Times New Roman" w:eastAsia="方正仿宋简体" w:hAnsi="Times New Roman"/>
          <w:b/>
          <w:sz w:val="30"/>
          <w:szCs w:val="30"/>
        </w:rPr>
      </w:pPr>
      <w:r>
        <w:rPr>
          <w:rFonts w:ascii="Times New Roman" w:eastAsia="方正仿宋简体" w:hAnsi="Times New Roman" w:hint="eastAsia"/>
          <w:b/>
          <w:sz w:val="30"/>
          <w:szCs w:val="30"/>
        </w:rPr>
        <w:t>（</w:t>
      </w:r>
      <w:r>
        <w:rPr>
          <w:rFonts w:ascii="Times New Roman" w:eastAsia="方正仿宋简体" w:hAnsi="Times New Roman" w:hint="eastAsia"/>
          <w:b/>
          <w:sz w:val="30"/>
          <w:szCs w:val="30"/>
        </w:rPr>
        <w:t>2</w:t>
      </w:r>
      <w:r>
        <w:rPr>
          <w:rFonts w:ascii="Times New Roman" w:eastAsia="方正仿宋简体" w:hAnsi="Times New Roman" w:hint="eastAsia"/>
          <w:b/>
          <w:sz w:val="30"/>
          <w:szCs w:val="30"/>
        </w:rPr>
        <w:t>）激励</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除交易手续费减免外，交易所基于做市商在做市品种上的报价及成交情况，可以</w:t>
      </w:r>
      <w:r>
        <w:rPr>
          <w:rFonts w:ascii="Times New Roman" w:eastAsia="方正仿宋简体" w:hAnsi="Times New Roman"/>
          <w:sz w:val="30"/>
          <w:szCs w:val="30"/>
        </w:rPr>
        <w:t>对</w:t>
      </w:r>
      <w:r>
        <w:rPr>
          <w:rFonts w:ascii="Times New Roman" w:eastAsia="方正仿宋简体" w:hAnsi="Times New Roman" w:hint="eastAsia"/>
          <w:sz w:val="30"/>
          <w:szCs w:val="30"/>
        </w:rPr>
        <w:t>满足</w:t>
      </w:r>
      <w:r>
        <w:rPr>
          <w:rFonts w:ascii="Times New Roman" w:eastAsia="方正仿宋简体" w:hAnsi="Times New Roman"/>
          <w:sz w:val="30"/>
          <w:szCs w:val="30"/>
        </w:rPr>
        <w:t>完成义务</w:t>
      </w:r>
      <w:r>
        <w:rPr>
          <w:rFonts w:ascii="Times New Roman" w:eastAsia="方正仿宋简体" w:hAnsi="Times New Roman" w:hint="eastAsia"/>
          <w:sz w:val="30"/>
          <w:szCs w:val="30"/>
        </w:rPr>
        <w:t>等</w:t>
      </w:r>
      <w:r>
        <w:rPr>
          <w:rFonts w:ascii="Times New Roman" w:eastAsia="方正仿宋简体" w:hAnsi="Times New Roman"/>
          <w:sz w:val="30"/>
          <w:szCs w:val="30"/>
        </w:rPr>
        <w:t>要求的做市商</w:t>
      </w:r>
      <w:r>
        <w:rPr>
          <w:rFonts w:ascii="Times New Roman" w:eastAsia="方正仿宋简体" w:hAnsi="Times New Roman" w:hint="eastAsia"/>
          <w:sz w:val="30"/>
          <w:szCs w:val="30"/>
        </w:rPr>
        <w:t>设置相应的激励。具体激励额度以做市商协议约定和交易所通知为准，各类激励计算规则如下：</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①报价激励</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在某一做市品种上，交易所根据做市商</w:t>
      </w:r>
      <w:bookmarkStart w:id="36" w:name="_Hlk159563854"/>
      <w:r>
        <w:rPr>
          <w:rFonts w:ascii="Times New Roman" w:eastAsia="方正仿宋简体" w:hAnsi="Times New Roman" w:hint="eastAsia"/>
          <w:sz w:val="30"/>
          <w:szCs w:val="30"/>
        </w:rPr>
        <w:t>的有效双边报价</w:t>
      </w:r>
      <w:r>
        <w:rPr>
          <w:rFonts w:ascii="Times New Roman" w:eastAsia="方正仿宋简体" w:hAnsi="Times New Roman"/>
          <w:sz w:val="30"/>
          <w:szCs w:val="30"/>
        </w:rPr>
        <w:t>价差</w:t>
      </w:r>
      <w:r>
        <w:rPr>
          <w:rFonts w:ascii="Times New Roman" w:eastAsia="方正仿宋简体" w:hAnsi="Times New Roman" w:hint="eastAsia"/>
          <w:sz w:val="30"/>
          <w:szCs w:val="30"/>
        </w:rPr>
        <w:t>、有效</w:t>
      </w:r>
      <w:r>
        <w:rPr>
          <w:rFonts w:ascii="Times New Roman" w:eastAsia="方正仿宋简体" w:hAnsi="Times New Roman"/>
          <w:sz w:val="30"/>
          <w:szCs w:val="30"/>
        </w:rPr>
        <w:t>双边</w:t>
      </w:r>
      <w:r>
        <w:rPr>
          <w:rFonts w:ascii="Times New Roman" w:eastAsia="方正仿宋简体" w:hAnsi="Times New Roman" w:hint="eastAsia"/>
          <w:sz w:val="30"/>
          <w:szCs w:val="30"/>
        </w:rPr>
        <w:t>报价持续</w:t>
      </w:r>
      <w:r>
        <w:rPr>
          <w:rFonts w:ascii="Times New Roman" w:eastAsia="方正仿宋简体" w:hAnsi="Times New Roman"/>
          <w:sz w:val="30"/>
          <w:szCs w:val="30"/>
        </w:rPr>
        <w:t>时间</w:t>
      </w:r>
      <w:r>
        <w:rPr>
          <w:rFonts w:ascii="Times New Roman" w:eastAsia="方正仿宋简体" w:hAnsi="Times New Roman" w:hint="eastAsia"/>
          <w:sz w:val="30"/>
          <w:szCs w:val="30"/>
        </w:rPr>
        <w:t>比例、</w:t>
      </w:r>
      <w:r>
        <w:rPr>
          <w:rFonts w:ascii="Times New Roman" w:eastAsia="方正仿宋简体" w:hAnsi="Times New Roman"/>
          <w:sz w:val="30"/>
          <w:szCs w:val="30"/>
        </w:rPr>
        <w:t>成交委托</w:t>
      </w:r>
      <w:r>
        <w:rPr>
          <w:rFonts w:ascii="Times New Roman" w:eastAsia="方正仿宋简体" w:hAnsi="Times New Roman" w:hint="eastAsia"/>
          <w:sz w:val="30"/>
          <w:szCs w:val="30"/>
        </w:rPr>
        <w:t>比</w:t>
      </w:r>
      <w:bookmarkEnd w:id="36"/>
      <w:r>
        <w:rPr>
          <w:rFonts w:ascii="Times New Roman" w:eastAsia="方正仿宋简体" w:hAnsi="Times New Roman" w:hint="eastAsia"/>
          <w:sz w:val="30"/>
          <w:szCs w:val="30"/>
        </w:rPr>
        <w:t>例综合计算报价激励额度。</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②成交激励</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在某一做市品种上，交易所根据做市商成交占全部做市商</w:t>
      </w:r>
      <w:r>
        <w:rPr>
          <w:rFonts w:ascii="Times New Roman" w:eastAsia="方正仿宋简体" w:hAnsi="Times New Roman"/>
          <w:sz w:val="30"/>
          <w:szCs w:val="30"/>
        </w:rPr>
        <w:t>成交</w:t>
      </w:r>
      <w:r>
        <w:rPr>
          <w:rFonts w:ascii="Times New Roman" w:eastAsia="方正仿宋简体" w:hAnsi="Times New Roman" w:hint="eastAsia"/>
          <w:sz w:val="30"/>
          <w:szCs w:val="30"/>
        </w:rPr>
        <w:t>之比计算其成交激励额度。其中，成交量按照做市商被动成交量和其他成交量，</w:t>
      </w:r>
      <w:r>
        <w:rPr>
          <w:rFonts w:ascii="Times New Roman" w:eastAsia="方正仿宋简体" w:hAnsi="Times New Roman"/>
          <w:sz w:val="30"/>
          <w:szCs w:val="30"/>
        </w:rPr>
        <w:t>以及</w:t>
      </w:r>
      <w:r>
        <w:rPr>
          <w:rFonts w:ascii="Times New Roman" w:eastAsia="方正仿宋简体" w:hAnsi="Times New Roman" w:hint="eastAsia"/>
          <w:sz w:val="30"/>
          <w:szCs w:val="30"/>
        </w:rPr>
        <w:t>成交所在期权</w:t>
      </w:r>
      <w:r>
        <w:rPr>
          <w:rFonts w:ascii="Times New Roman" w:eastAsia="方正仿宋简体" w:hAnsi="Times New Roman"/>
          <w:sz w:val="30"/>
          <w:szCs w:val="30"/>
        </w:rPr>
        <w:t>合约</w:t>
      </w:r>
      <w:r>
        <w:rPr>
          <w:rFonts w:ascii="Times New Roman" w:eastAsia="方正仿宋简体" w:hAnsi="Times New Roman" w:hint="eastAsia"/>
          <w:sz w:val="30"/>
          <w:szCs w:val="30"/>
        </w:rPr>
        <w:t>的</w:t>
      </w:r>
      <w:r>
        <w:rPr>
          <w:rFonts w:ascii="Times New Roman" w:eastAsia="方正仿宋简体" w:hAnsi="Times New Roman"/>
          <w:sz w:val="30"/>
          <w:szCs w:val="30"/>
        </w:rPr>
        <w:t>虚实</w:t>
      </w:r>
      <w:r>
        <w:rPr>
          <w:rFonts w:ascii="Times New Roman" w:eastAsia="方正仿宋简体" w:hAnsi="Times New Roman" w:hint="eastAsia"/>
          <w:sz w:val="30"/>
          <w:szCs w:val="30"/>
        </w:rPr>
        <w:t>值</w:t>
      </w:r>
      <w:r>
        <w:rPr>
          <w:rFonts w:ascii="Times New Roman" w:eastAsia="方正仿宋简体" w:hAnsi="Times New Roman"/>
          <w:sz w:val="30"/>
          <w:szCs w:val="30"/>
        </w:rPr>
        <w:t>档位</w:t>
      </w:r>
      <w:r>
        <w:rPr>
          <w:rFonts w:ascii="Times New Roman" w:eastAsia="方正仿宋简体" w:hAnsi="Times New Roman" w:hint="eastAsia"/>
          <w:sz w:val="30"/>
          <w:szCs w:val="30"/>
        </w:rPr>
        <w:t>加权计算。做市商自成交及交易所认定的其他情况产生的成交量不计入统计。</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交易所可以根据做市商义务完成情况及市场运行发展变化动态调整交易手续费减免比例和各项激励措施，具体以做市商协议约定和交易所通知为准。</w:t>
      </w:r>
    </w:p>
    <w:p w:rsidR="00753452" w:rsidRDefault="00753452">
      <w:pPr>
        <w:spacing w:line="560" w:lineRule="exact"/>
        <w:ind w:firstLineChars="200" w:firstLine="600"/>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37" w:name="_Toc159596064"/>
      <w:r>
        <w:rPr>
          <w:rFonts w:ascii="黑体" w:eastAsia="方正黑体简体" w:hAnsi="黑体" w:hint="eastAsia"/>
          <w:kern w:val="44"/>
          <w:sz w:val="30"/>
          <w:szCs w:val="32"/>
        </w:rPr>
        <w:t>第五章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评价</w:t>
      </w:r>
      <w:bookmarkEnd w:id="37"/>
      <w:r>
        <w:rPr>
          <w:rFonts w:ascii="黑体" w:eastAsia="方正黑体简体" w:hAnsi="黑体" w:hint="eastAsia"/>
          <w:kern w:val="44"/>
          <w:sz w:val="30"/>
          <w:szCs w:val="32"/>
        </w:rPr>
        <w:t>考核</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38" w:name="_Toc159596065"/>
      <w:r>
        <w:rPr>
          <w:rFonts w:ascii="楷体" w:eastAsia="方正楷体简体" w:hAnsi="楷体" w:cs="宋体" w:hint="eastAsia"/>
          <w:b/>
          <w:bCs/>
          <w:sz w:val="30"/>
          <w:szCs w:val="20"/>
        </w:rPr>
        <w:t>一、评价指标</w:t>
      </w:r>
      <w:bookmarkEnd w:id="38"/>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交易所根据期货、</w:t>
      </w:r>
      <w:r>
        <w:rPr>
          <w:rFonts w:ascii="Times New Roman" w:eastAsia="方正仿宋简体" w:hAnsi="Times New Roman"/>
          <w:sz w:val="30"/>
          <w:szCs w:val="30"/>
        </w:rPr>
        <w:t>期权</w:t>
      </w:r>
      <w:r>
        <w:rPr>
          <w:rFonts w:ascii="Times New Roman" w:eastAsia="方正仿宋简体" w:hAnsi="Times New Roman" w:hint="eastAsia"/>
          <w:sz w:val="30"/>
          <w:szCs w:val="30"/>
        </w:rPr>
        <w:t>做市业务特点，从报价、成交和持仓等方面选取一个或多个指标，并赋予不同权重，对期货做市商做市质量进行</w:t>
      </w:r>
      <w:r>
        <w:rPr>
          <w:rFonts w:ascii="Times New Roman" w:eastAsia="方正仿宋简体" w:hAnsi="Times New Roman"/>
          <w:sz w:val="30"/>
          <w:szCs w:val="30"/>
        </w:rPr>
        <w:t>评价</w:t>
      </w:r>
      <w:r>
        <w:rPr>
          <w:rFonts w:ascii="Times New Roman" w:eastAsia="方正仿宋简体" w:hAnsi="Times New Roman" w:hint="eastAsia"/>
          <w:sz w:val="30"/>
          <w:szCs w:val="30"/>
        </w:rPr>
        <w:t>；从报价、成交、成交委托比例等方面选取一个或多个指标，并赋予不同权重，对期权做市商做市质量进行评价。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交易所可以根据市场运行发展变化，动态调整做市商评价指标及权重，具体以做市商协议约定和交易所通知为准。</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39" w:name="_Toc159596068"/>
      <w:r>
        <w:rPr>
          <w:rFonts w:ascii="楷体" w:eastAsia="方正楷体简体" w:hAnsi="楷体" w:cs="宋体" w:hint="eastAsia"/>
          <w:b/>
          <w:bCs/>
          <w:sz w:val="30"/>
          <w:szCs w:val="20"/>
        </w:rPr>
        <w:t>二、评价结果及应用</w:t>
      </w:r>
      <w:bookmarkEnd w:id="39"/>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在某一做市品种上的评价结果根据其在该品种上的各评价指标表现等情况确定。做市商参与多个品种做市的，其综合评价结果根据其在各做市品种上的评价结果等情况确定。交易所可以对期货做市商和期权做市商分别评价。</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交易所将做市商评价结果作为做市商遴选与淘汰、表彰授奖等工作的综合考虑因素之一。</w:t>
      </w:r>
    </w:p>
    <w:p w:rsidR="00753452" w:rsidRDefault="00753452">
      <w:pPr>
        <w:spacing w:line="560" w:lineRule="exact"/>
        <w:ind w:firstLineChars="200" w:firstLine="600"/>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40" w:name="_Toc159596069"/>
      <w:r>
        <w:rPr>
          <w:rFonts w:ascii="黑体" w:eastAsia="方正黑体简体" w:hAnsi="黑体" w:hint="eastAsia"/>
          <w:kern w:val="44"/>
          <w:sz w:val="30"/>
          <w:szCs w:val="32"/>
        </w:rPr>
        <w:t>第六章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合规风控</w:t>
      </w:r>
      <w:bookmarkEnd w:id="40"/>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做市商应当建立健全内部控制制度和</w:t>
      </w:r>
      <w:r>
        <w:rPr>
          <w:rFonts w:ascii="Times New Roman" w:eastAsia="方正仿宋简体" w:hAnsi="Times New Roman"/>
          <w:sz w:val="30"/>
          <w:szCs w:val="30"/>
        </w:rPr>
        <w:t>风险管理制度</w:t>
      </w:r>
      <w:r>
        <w:rPr>
          <w:rFonts w:ascii="Times New Roman" w:eastAsia="方正仿宋简体" w:hAnsi="Times New Roman" w:hint="eastAsia"/>
          <w:sz w:val="30"/>
          <w:szCs w:val="30"/>
        </w:rPr>
        <w:t>，依法合规开展做市业务，</w:t>
      </w:r>
      <w:r>
        <w:rPr>
          <w:rFonts w:ascii="Times New Roman" w:eastAsia="方正仿宋简体" w:hAnsi="Times New Roman"/>
          <w:sz w:val="30"/>
          <w:szCs w:val="30"/>
        </w:rPr>
        <w:t>有效控制做市业务风险</w:t>
      </w:r>
      <w:r>
        <w:rPr>
          <w:rFonts w:ascii="Times New Roman" w:eastAsia="方正仿宋简体" w:hAnsi="Times New Roman" w:hint="eastAsia"/>
          <w:sz w:val="30"/>
          <w:szCs w:val="30"/>
        </w:rPr>
        <w:t>。</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41" w:name="_Toc159596070"/>
      <w:r>
        <w:rPr>
          <w:rFonts w:ascii="楷体" w:eastAsia="方正楷体简体" w:hAnsi="楷体" w:cs="宋体" w:hint="eastAsia"/>
          <w:b/>
          <w:bCs/>
          <w:sz w:val="30"/>
          <w:szCs w:val="20"/>
        </w:rPr>
        <w:t>一、内部控制</w:t>
      </w:r>
      <w:bookmarkEnd w:id="41"/>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做市商应当建立严格的内部控制制度，对做市业务制定严格的授权管理制度和投资决策流程，建立有效的岗位分工和制衡机制，规范业务操作流程。</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42" w:name="_Toc159596071"/>
      <w:r>
        <w:rPr>
          <w:rFonts w:ascii="楷体" w:eastAsia="方正楷体简体" w:hAnsi="楷体" w:cs="宋体" w:hint="eastAsia"/>
          <w:b/>
          <w:bCs/>
          <w:sz w:val="30"/>
          <w:szCs w:val="20"/>
        </w:rPr>
        <w:t>二、风险</w:t>
      </w:r>
      <w:r>
        <w:rPr>
          <w:rFonts w:ascii="楷体" w:eastAsia="方正楷体简体" w:hAnsi="楷体" w:cs="宋体"/>
          <w:b/>
          <w:bCs/>
          <w:sz w:val="30"/>
          <w:szCs w:val="20"/>
        </w:rPr>
        <w:t>管理</w:t>
      </w:r>
      <w:bookmarkEnd w:id="42"/>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做市商应当具备符合要求的风险管理制度、动态风险监控系统，加强对市场风险、模型风险、存货风险、流动性风险、操作风险等业务风险的识别、监测和控制。</w:t>
      </w:r>
    </w:p>
    <w:p w:rsidR="00753452" w:rsidRDefault="00353A98">
      <w:pPr>
        <w:spacing w:line="560" w:lineRule="exact"/>
        <w:ind w:firstLineChars="200" w:firstLine="602"/>
        <w:outlineLvl w:val="2"/>
        <w:rPr>
          <w:rFonts w:ascii="方正仿宋简体" w:eastAsia="方正仿宋简体" w:hAnsi="仿宋"/>
          <w:b/>
          <w:bCs/>
          <w:sz w:val="30"/>
          <w:szCs w:val="30"/>
        </w:rPr>
      </w:pPr>
      <w:bookmarkStart w:id="43" w:name="_Toc159596072"/>
      <w:r>
        <w:rPr>
          <w:rFonts w:ascii="方正仿宋简体" w:eastAsia="方正仿宋简体" w:hAnsi="仿宋" w:hint="eastAsia"/>
          <w:b/>
          <w:bCs/>
          <w:sz w:val="30"/>
          <w:szCs w:val="30"/>
        </w:rPr>
        <w:t>（一）做市业务部门风险管理</w:t>
      </w:r>
      <w:bookmarkEnd w:id="43"/>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做市业务部门需要科学、合理设定做市业务风险指标，并对各类风险指标和交易员误操作风险进行实时监控和预警。</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建立做市业务的风险报告机制。报告分为定期报告和临时报告。定期报告由做市业务部门提交公司风险管理部门。报告内容包括但不限于各项风险指标情况、做市业务规模等。临时报告由做市业务部门及相关职能部门在做市业务开展过程中就出现的与做市业务有关的风险事件，包括业务差错、系统运作故障、突发性的紧急事件等，按照公司内部报告制度的要求向公司提交。</w:t>
      </w:r>
    </w:p>
    <w:p w:rsidR="00753452" w:rsidRDefault="00353A98">
      <w:pPr>
        <w:spacing w:line="560" w:lineRule="exact"/>
        <w:ind w:firstLineChars="200" w:firstLine="602"/>
        <w:outlineLvl w:val="2"/>
        <w:rPr>
          <w:rFonts w:ascii="方正仿宋简体" w:eastAsia="方正仿宋简体" w:hAnsi="仿宋"/>
          <w:b/>
          <w:bCs/>
          <w:sz w:val="30"/>
          <w:szCs w:val="30"/>
        </w:rPr>
      </w:pPr>
      <w:bookmarkStart w:id="44" w:name="_Toc159596073"/>
      <w:r>
        <w:rPr>
          <w:rFonts w:ascii="方正仿宋简体" w:eastAsia="方正仿宋简体" w:hAnsi="仿宋" w:hint="eastAsia"/>
          <w:b/>
          <w:bCs/>
          <w:sz w:val="30"/>
          <w:szCs w:val="30"/>
        </w:rPr>
        <w:t>（二）公司</w:t>
      </w:r>
      <w:r>
        <w:rPr>
          <w:rFonts w:ascii="方正仿宋简体" w:eastAsia="方正仿宋简体" w:hAnsi="仿宋"/>
          <w:b/>
          <w:bCs/>
          <w:sz w:val="30"/>
          <w:szCs w:val="30"/>
        </w:rPr>
        <w:t>层面的</w:t>
      </w:r>
      <w:r>
        <w:rPr>
          <w:rFonts w:ascii="方正仿宋简体" w:eastAsia="方正仿宋简体" w:hAnsi="仿宋" w:hint="eastAsia"/>
          <w:b/>
          <w:bCs/>
          <w:sz w:val="30"/>
          <w:szCs w:val="30"/>
        </w:rPr>
        <w:t>风险</w:t>
      </w:r>
      <w:r>
        <w:rPr>
          <w:rFonts w:ascii="方正仿宋简体" w:eastAsia="方正仿宋简体" w:hAnsi="仿宋"/>
          <w:b/>
          <w:bCs/>
          <w:sz w:val="30"/>
          <w:szCs w:val="30"/>
        </w:rPr>
        <w:t>管理</w:t>
      </w:r>
      <w:bookmarkEnd w:id="44"/>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做市商需要在公司层面制定做市业务风险管理制度和流程，建立风险限额授权、风险监控、定期压力测试、风险报告等机制。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做市商需要根据业务发展状况、资金状况以及风险控制水平等因素对做市业务进行风险限额授权。</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同时开展其他业务的做市商，需要在公司层面进行做市业务风险监控。对于在监控中发现的超限、违规或者其他需关注的情况做出书面记录，及时处理，如有必要的应当向做市业务部门发出风险提示书，限期整改并持续跟踪。</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做市商需要在公司层面对做市业务开展压力测试，以度量极端不利市场环境（即压力情景）下公司可能遭受的潜在的保证金风险和损失风险，确保在压力情景下风险可测、可控、可承受，保障公司可持续经营。</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做市商需要按照监管部门和交易所相关要求，提交做市业务相关报告。</w:t>
      </w:r>
    </w:p>
    <w:p w:rsidR="00753452" w:rsidRDefault="00753452">
      <w:pPr>
        <w:spacing w:line="560" w:lineRule="exact"/>
        <w:ind w:firstLineChars="200" w:firstLine="600"/>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45" w:name="_Toc159596075"/>
      <w:r>
        <w:rPr>
          <w:rFonts w:ascii="黑体" w:eastAsia="方正黑体简体" w:hAnsi="黑体" w:hint="eastAsia"/>
          <w:kern w:val="44"/>
          <w:sz w:val="30"/>
          <w:szCs w:val="32"/>
        </w:rPr>
        <w:t>第七章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技术系统</w:t>
      </w:r>
      <w:bookmarkEnd w:id="45"/>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做市商开展做市业务，应当具有稳定、可靠的做市</w:t>
      </w:r>
      <w:r>
        <w:rPr>
          <w:rFonts w:ascii="Times New Roman" w:eastAsia="方正仿宋简体" w:hAnsi="Times New Roman"/>
          <w:sz w:val="30"/>
          <w:szCs w:val="30"/>
        </w:rPr>
        <w:t>交易</w:t>
      </w:r>
      <w:r>
        <w:rPr>
          <w:rFonts w:ascii="Times New Roman" w:eastAsia="方正仿宋简体" w:hAnsi="Times New Roman" w:hint="eastAsia"/>
          <w:sz w:val="30"/>
          <w:szCs w:val="30"/>
        </w:rPr>
        <w:t>技术系统。交易所可以对做市商的做市交易技术系统进行评估、检查或者要求参与相关测试等工作。</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46" w:name="_Toc159596076"/>
      <w:r>
        <w:rPr>
          <w:rFonts w:ascii="楷体" w:eastAsia="方正楷体简体" w:hAnsi="楷体" w:cs="宋体" w:hint="eastAsia"/>
          <w:b/>
          <w:bCs/>
          <w:sz w:val="30"/>
          <w:szCs w:val="20"/>
        </w:rPr>
        <w:t>一、技术系统基本要求</w:t>
      </w:r>
      <w:bookmarkEnd w:id="46"/>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技术系统应具备安全性、稳定性，与其他业务系统进行隔离。在建设过程中应经过严格的评审和测试流程，在实施过程中应当制定详细的项目计划，充分考虑实施过程中的风险点及应急措施，并对系统上线后的日常运营管理、容灾备份策略及应急处理措施进行规范。</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w:t>
      </w:r>
      <w:r>
        <w:rPr>
          <w:rFonts w:ascii="Times New Roman" w:eastAsia="方正仿宋简体" w:hAnsi="Times New Roman"/>
          <w:sz w:val="30"/>
          <w:szCs w:val="30"/>
        </w:rPr>
        <w:t>技术</w:t>
      </w:r>
      <w:r>
        <w:rPr>
          <w:rFonts w:ascii="Times New Roman" w:eastAsia="方正仿宋简体" w:hAnsi="Times New Roman" w:hint="eastAsia"/>
          <w:sz w:val="30"/>
          <w:szCs w:val="30"/>
        </w:rPr>
        <w:t>系统应当包括但不限于行情显示、权限管理、定价与做市策略、交易管理、风险控制、资金管理、持仓管理、做市义务统计等基本功能。做市业务相关人员应当熟练掌握系统功能和各项操作。</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做市交易技术系统发生重大变化时，须在发生之日起</w:t>
      </w:r>
      <w:r>
        <w:rPr>
          <w:rFonts w:ascii="Times New Roman" w:eastAsia="方正仿宋简体" w:hAnsi="Times New Roman" w:hint="eastAsia"/>
          <w:sz w:val="30"/>
          <w:szCs w:val="30"/>
        </w:rPr>
        <w:t>3</w:t>
      </w:r>
      <w:r>
        <w:rPr>
          <w:rFonts w:ascii="Times New Roman" w:eastAsia="方正仿宋简体" w:hAnsi="Times New Roman" w:hint="eastAsia"/>
          <w:sz w:val="30"/>
          <w:szCs w:val="30"/>
        </w:rPr>
        <w:t>个交易日内向交易所提交书面报告，并须按照交易所要求参与相关测试及应急演练等工作。</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做市商应当定期对技术系统性能、容量以及是否支持本所做市业务规则进行评估和测试，确保系统满足做市业务需要。</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47" w:name="_Toc159596078"/>
      <w:r>
        <w:rPr>
          <w:rFonts w:ascii="楷体" w:eastAsia="方正楷体简体" w:hAnsi="楷体" w:cs="宋体" w:hint="eastAsia"/>
          <w:b/>
          <w:bCs/>
          <w:sz w:val="30"/>
          <w:szCs w:val="20"/>
        </w:rPr>
        <w:t>二、信息</w:t>
      </w:r>
      <w:r>
        <w:rPr>
          <w:rFonts w:ascii="楷体" w:eastAsia="方正楷体简体" w:hAnsi="楷体" w:cs="宋体"/>
          <w:b/>
          <w:bCs/>
          <w:sz w:val="30"/>
          <w:szCs w:val="20"/>
        </w:rPr>
        <w:t>技术制度</w:t>
      </w:r>
      <w:bookmarkEnd w:id="47"/>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健全信息技术管理制度、信息系统报备制度。信息技术管理制度包含但不限于做市业务技术系统建设目标、设计原则、系统架构图、各功能模块配置、功能说明、系统建设流程、相关管理制度等内容以及相关文档清单。信息系统报备制度包括但不限于信息技术系统开发、测试、接入和升级等变化情况的报备制度。</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48" w:name="_Toc159596079"/>
      <w:r>
        <w:rPr>
          <w:rFonts w:ascii="楷体" w:eastAsia="方正楷体简体" w:hAnsi="楷体" w:cs="宋体" w:hint="eastAsia"/>
          <w:b/>
          <w:bCs/>
          <w:sz w:val="30"/>
          <w:szCs w:val="20"/>
        </w:rPr>
        <w:t>三、技术</w:t>
      </w:r>
      <w:r>
        <w:rPr>
          <w:rFonts w:ascii="楷体" w:eastAsia="方正楷体简体" w:hAnsi="楷体" w:cs="宋体"/>
          <w:b/>
          <w:bCs/>
          <w:sz w:val="30"/>
          <w:szCs w:val="20"/>
        </w:rPr>
        <w:t>系统运维</w:t>
      </w:r>
      <w:bookmarkEnd w:id="48"/>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做市商需要强化系统配置管理和系统权限管理，明确相关流程，建立健全岗位分离和监督制约机制。</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做市商需要建立灾难备份系统，制定应急预案，明确技术系统应急处置机制和流程，确保在相应情形发生时立即进行应急处置，并定期或不定期组织运行人员进行应急演练，留存演练记录。</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建立完善的技术系统运行监控机制，对技术系统的运行环境、运行状况进行实时监控并报警。对报警记录进行及时处理，并留存相关记录。定期对做市系统进行检查，对检查情况进行分析、评审，发现问题要及时采取必要的应对措施。技术系统应当具备业务操作日志保存功能，并可供核查。</w:t>
      </w:r>
    </w:p>
    <w:p w:rsidR="00753452" w:rsidRDefault="00753452">
      <w:pPr>
        <w:spacing w:line="560" w:lineRule="exact"/>
        <w:rPr>
          <w:rFonts w:ascii="Times New Roman" w:eastAsia="方正仿宋简体" w:hAnsi="Times New Roman"/>
          <w:sz w:val="30"/>
          <w:szCs w:val="30"/>
        </w:rPr>
      </w:pPr>
    </w:p>
    <w:p w:rsidR="00753452" w:rsidRDefault="00353A98">
      <w:pPr>
        <w:keepNext/>
        <w:keepLines/>
        <w:spacing w:beforeLines="50" w:before="156" w:afterLines="50" w:after="156" w:line="360" w:lineRule="auto"/>
        <w:ind w:firstLineChars="200" w:firstLine="600"/>
        <w:jc w:val="center"/>
        <w:outlineLvl w:val="0"/>
        <w:rPr>
          <w:rFonts w:ascii="黑体" w:eastAsia="方正黑体简体" w:hAnsi="黑体"/>
          <w:kern w:val="44"/>
          <w:sz w:val="30"/>
          <w:szCs w:val="32"/>
        </w:rPr>
      </w:pPr>
      <w:bookmarkStart w:id="49" w:name="_Toc159596080"/>
      <w:r>
        <w:rPr>
          <w:rFonts w:ascii="黑体" w:eastAsia="方正黑体简体" w:hAnsi="黑体" w:hint="eastAsia"/>
          <w:kern w:val="44"/>
          <w:sz w:val="30"/>
          <w:szCs w:val="32"/>
        </w:rPr>
        <w:t>第八章</w:t>
      </w:r>
      <w:r>
        <w:rPr>
          <w:rFonts w:ascii="黑体" w:eastAsia="方正黑体简体" w:hAnsi="黑体" w:hint="eastAsia"/>
          <w:kern w:val="44"/>
          <w:sz w:val="30"/>
          <w:szCs w:val="32"/>
        </w:rPr>
        <w:t xml:space="preserve"> </w:t>
      </w:r>
      <w:r>
        <w:rPr>
          <w:rFonts w:ascii="黑体" w:eastAsia="方正黑体简体" w:hAnsi="黑体"/>
          <w:kern w:val="44"/>
          <w:sz w:val="30"/>
          <w:szCs w:val="32"/>
        </w:rPr>
        <w:t xml:space="preserve"> </w:t>
      </w:r>
      <w:r>
        <w:rPr>
          <w:rFonts w:ascii="黑体" w:eastAsia="方正黑体简体" w:hAnsi="黑体" w:hint="eastAsia"/>
          <w:kern w:val="44"/>
          <w:sz w:val="30"/>
          <w:szCs w:val="32"/>
        </w:rPr>
        <w:t>监督管理</w:t>
      </w:r>
      <w:bookmarkEnd w:id="49"/>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交易所按照《上海期货交易所做市商管理办法》及相关业务规则对做市商进行监管。</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50" w:name="_Toc159596081"/>
      <w:r>
        <w:rPr>
          <w:rFonts w:ascii="楷体" w:eastAsia="方正楷体简体" w:hAnsi="楷体" w:cs="宋体" w:hint="eastAsia"/>
          <w:b/>
          <w:bCs/>
          <w:sz w:val="30"/>
          <w:szCs w:val="20"/>
        </w:rPr>
        <w:t>一、业务隔离</w:t>
      </w:r>
      <w:bookmarkEnd w:id="50"/>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业务应当以为市场提供流动性为主要目的，做市业务应当与公司其他业务进行有效隔离。做市商应当建立完善的风险防范与业务隔离制度，有效防范做市业务与公司其他业务之间的利益冲突，不得利用做市业务谋取不正当利益。</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使用专门的做市交易编码开展做市业务，做市交易编码只能用于履行做市义务及进行相关交易，不得开展其他无关交易。做市业务资金、团队人员、技术系统、办公场所等应当与公司其他业务进行分开管理，有效隔离。</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51" w:name="_Toc159596082"/>
      <w:r>
        <w:rPr>
          <w:rFonts w:ascii="楷体" w:eastAsia="方正楷体简体" w:hAnsi="楷体" w:cs="宋体" w:hint="eastAsia"/>
          <w:b/>
          <w:bCs/>
          <w:sz w:val="30"/>
          <w:szCs w:val="20"/>
        </w:rPr>
        <w:t>二</w:t>
      </w:r>
      <w:r>
        <w:rPr>
          <w:rFonts w:ascii="楷体" w:eastAsia="方正楷体简体" w:hAnsi="楷体" w:cs="宋体"/>
          <w:b/>
          <w:bCs/>
          <w:sz w:val="30"/>
          <w:szCs w:val="20"/>
        </w:rPr>
        <w:t>、</w:t>
      </w:r>
      <w:r>
        <w:rPr>
          <w:rFonts w:ascii="楷体" w:eastAsia="方正楷体简体" w:hAnsi="楷体" w:cs="宋体" w:hint="eastAsia"/>
          <w:b/>
          <w:bCs/>
          <w:sz w:val="30"/>
          <w:szCs w:val="20"/>
        </w:rPr>
        <w:t>日常监管</w:t>
      </w:r>
      <w:bookmarkEnd w:id="51"/>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做市商应当具备稳定的技术系统、健全的风险管理和内部控制制度、有效的风险防范体系，确保做市业务风险可控。</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sz w:val="30"/>
          <w:szCs w:val="30"/>
        </w:rPr>
        <w:t>做市商应当按照交易所要求报告做市业务情况，进行数据报送，妥善保存相关交易及风控记录，以备核查。</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交易所可以对做市商的风险管理、交易行为、系统运行以及经营、资信等情况进行监督和检查，做市商及其做市业务开展所在期货公司应当予以协助和配合。</w:t>
      </w:r>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做市商应当持续满足《上海期货交易所做市商管理办法》要求的资格条件。</w:t>
      </w:r>
    </w:p>
    <w:p w:rsidR="00753452" w:rsidRDefault="00353A98">
      <w:pPr>
        <w:spacing w:line="560" w:lineRule="exact"/>
        <w:ind w:firstLineChars="200" w:firstLine="602"/>
        <w:outlineLvl w:val="1"/>
        <w:rPr>
          <w:rFonts w:ascii="楷体" w:eastAsia="方正楷体简体" w:hAnsi="楷体" w:cs="宋体"/>
          <w:b/>
          <w:bCs/>
          <w:sz w:val="30"/>
          <w:szCs w:val="20"/>
        </w:rPr>
      </w:pPr>
      <w:bookmarkStart w:id="52" w:name="_Toc159596083"/>
      <w:r>
        <w:rPr>
          <w:rFonts w:ascii="楷体" w:eastAsia="方正楷体简体" w:hAnsi="楷体" w:cs="宋体" w:hint="eastAsia"/>
          <w:b/>
          <w:bCs/>
          <w:sz w:val="30"/>
          <w:szCs w:val="20"/>
        </w:rPr>
        <w:t>三</w:t>
      </w:r>
      <w:r>
        <w:rPr>
          <w:rFonts w:ascii="楷体" w:eastAsia="方正楷体简体" w:hAnsi="楷体" w:cs="宋体"/>
          <w:b/>
          <w:bCs/>
          <w:sz w:val="30"/>
          <w:szCs w:val="20"/>
        </w:rPr>
        <w:t>、</w:t>
      </w:r>
      <w:r>
        <w:rPr>
          <w:rFonts w:ascii="楷体" w:eastAsia="方正楷体简体" w:hAnsi="楷体" w:cs="宋体" w:hint="eastAsia"/>
          <w:b/>
          <w:bCs/>
          <w:sz w:val="30"/>
          <w:szCs w:val="20"/>
        </w:rPr>
        <w:t>违规</w:t>
      </w:r>
      <w:r>
        <w:rPr>
          <w:rFonts w:ascii="楷体" w:eastAsia="方正楷体简体" w:hAnsi="楷体" w:cs="宋体"/>
          <w:b/>
          <w:bCs/>
          <w:sz w:val="30"/>
          <w:szCs w:val="20"/>
        </w:rPr>
        <w:t>处理</w:t>
      </w:r>
      <w:bookmarkEnd w:id="52"/>
    </w:p>
    <w:p w:rsidR="00753452" w:rsidRDefault="00353A98">
      <w:pPr>
        <w:spacing w:line="560" w:lineRule="exact"/>
        <w:ind w:firstLineChars="200" w:firstLine="600"/>
        <w:rPr>
          <w:rFonts w:ascii="Times New Roman" w:eastAsia="方正仿宋简体" w:hAnsi="Times New Roman"/>
          <w:sz w:val="30"/>
          <w:szCs w:val="30"/>
        </w:rPr>
      </w:pPr>
      <w:r>
        <w:rPr>
          <w:rFonts w:ascii="Times New Roman" w:eastAsia="方正仿宋简体" w:hAnsi="Times New Roman" w:hint="eastAsia"/>
          <w:sz w:val="30"/>
          <w:szCs w:val="30"/>
        </w:rPr>
        <w:t>做市商违反相关规定的，交易所按《上海期货交易所违规处理办法》《上海期货交易所做市商管理办法》及</w:t>
      </w:r>
      <w:r>
        <w:rPr>
          <w:rFonts w:ascii="Times New Roman" w:eastAsia="方正仿宋简体" w:hAnsi="Times New Roman"/>
          <w:sz w:val="30"/>
          <w:szCs w:val="30"/>
        </w:rPr>
        <w:t>其他</w:t>
      </w:r>
      <w:r>
        <w:rPr>
          <w:rFonts w:ascii="Times New Roman" w:eastAsia="方正仿宋简体" w:hAnsi="Times New Roman" w:hint="eastAsia"/>
          <w:sz w:val="30"/>
          <w:szCs w:val="30"/>
        </w:rPr>
        <w:t>有关</w:t>
      </w:r>
      <w:r>
        <w:rPr>
          <w:rFonts w:ascii="Times New Roman" w:eastAsia="方正仿宋简体" w:hAnsi="Times New Roman"/>
          <w:sz w:val="30"/>
          <w:szCs w:val="30"/>
        </w:rPr>
        <w:t>规定</w:t>
      </w:r>
      <w:r>
        <w:rPr>
          <w:rFonts w:ascii="Times New Roman" w:eastAsia="方正仿宋简体" w:hAnsi="Times New Roman" w:hint="eastAsia"/>
          <w:sz w:val="30"/>
          <w:szCs w:val="30"/>
        </w:rPr>
        <w:t>处理。</w:t>
      </w:r>
    </w:p>
    <w:p w:rsidR="00753452" w:rsidRDefault="00753452"/>
    <w:p w:rsidR="00753452" w:rsidRDefault="00753452">
      <w:pPr>
        <w:spacing w:line="580" w:lineRule="exact"/>
        <w:ind w:firstLineChars="400" w:firstLine="1680"/>
        <w:rPr>
          <w:rFonts w:ascii="Times New Roman" w:eastAsia="方正大标宋简体" w:hAnsi="Times New Roman"/>
          <w:sz w:val="42"/>
          <w:szCs w:val="42"/>
        </w:rPr>
      </w:pPr>
    </w:p>
    <w:p w:rsidR="00753452" w:rsidRDefault="00753452">
      <w:pPr>
        <w:spacing w:afterLines="100" w:after="312" w:line="560" w:lineRule="exact"/>
        <w:jc w:val="left"/>
        <w:rPr>
          <w:rFonts w:ascii="Times New Roman" w:eastAsia="方正仿宋简体" w:hAnsi="Times New Roman"/>
          <w:kern w:val="0"/>
          <w:sz w:val="30"/>
          <w:szCs w:val="30"/>
        </w:rPr>
      </w:pPr>
    </w:p>
    <w:p w:rsidR="00753452" w:rsidRDefault="00753452">
      <w:pPr>
        <w:spacing w:line="580" w:lineRule="exact"/>
        <w:jc w:val="left"/>
        <w:rPr>
          <w:rFonts w:ascii="Times New Roman" w:eastAsia="方正仿宋简体" w:hAnsi="Times New Roman"/>
          <w:kern w:val="0"/>
          <w:sz w:val="30"/>
          <w:szCs w:val="30"/>
        </w:rPr>
      </w:pPr>
    </w:p>
    <w:sectPr w:rsidR="00753452">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161A" w:rsidRDefault="00AF161A">
      <w:r>
        <w:separator/>
      </w:r>
    </w:p>
  </w:endnote>
  <w:endnote w:type="continuationSeparator" w:id="0">
    <w:p w:rsidR="00AF161A" w:rsidRDefault="00AF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altName w:val="DejaVu Sans"/>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楷体_GB2312">
    <w:altName w:val="宋体"/>
    <w:charset w:val="86"/>
    <w:family w:val="modern"/>
    <w:pitch w:val="default"/>
    <w:sig w:usb0="00000000" w:usb1="00000000" w:usb2="00000010" w:usb3="00000000" w:csb0="00040000" w:csb1="00000000"/>
  </w:font>
  <w:font w:name="BatangChe">
    <w:altName w:val="宋体"/>
    <w:charset w:val="81"/>
    <w:family w:val="modern"/>
    <w:pitch w:val="default"/>
    <w:sig w:usb0="00000000" w:usb1="00000000" w:usb2="00000030" w:usb3="00000000" w:csb0="0008009F" w:csb1="00000000"/>
  </w:font>
  <w:font w:name="仿宋">
    <w:altName w:val="宋体"/>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 w:name="Futura Hv">
    <w:altName w:val="DejaVu Math TeX Gyre"/>
    <w:charset w:val="00"/>
    <w:family w:val="swiss"/>
    <w:pitch w:val="default"/>
    <w:sig w:usb0="00000000" w:usb1="00000000" w:usb2="00000000" w:usb3="00000000" w:csb0="0000009F" w:csb1="00000000"/>
  </w:font>
  <w:font w:name="Futura Bk">
    <w:altName w:val="DejaVu Math TeX Gyre"/>
    <w:charset w:val="00"/>
    <w:family w:val="swiss"/>
    <w:pitch w:val="default"/>
    <w:sig w:usb0="00000000" w:usb1="00000000" w:usb2="00000000" w:usb3="00000000" w:csb0="0000009F" w:csb1="00000000"/>
  </w:font>
  <w:font w:name="Gill Sans">
    <w:altName w:val="DejaVu Math TeX Gyre"/>
    <w:charset w:val="00"/>
    <w:family w:val="swiss"/>
    <w:pitch w:val="default"/>
    <w:sig w:usb0="00000000" w:usb1="00000000" w:usb2="00000000" w:usb3="00000000" w:csb0="00000001" w:csb1="00000000"/>
  </w:font>
  <w:font w:name="Verdana">
    <w:altName w:val="DejaVu Sans"/>
    <w:panose1 w:val="020B0604030504040204"/>
    <w:charset w:val="00"/>
    <w:family w:val="swiss"/>
    <w:pitch w:val="variable"/>
    <w:sig w:usb0="A00006FF" w:usb1="4000205B" w:usb2="00000010" w:usb3="00000000" w:csb0="0000019F" w:csb1="00000000"/>
  </w:font>
  <w:font w:name="Cambria">
    <w:altName w:val="Noto Sans Syriac Eastern"/>
    <w:panose1 w:val="02040503050406030204"/>
    <w:charset w:val="00"/>
    <w:family w:val="roman"/>
    <w:pitch w:val="variable"/>
    <w:sig w:usb0="E00006FF" w:usb1="420024FF" w:usb2="02000000" w:usb3="00000000" w:csb0="0000019F" w:csb1="00000000"/>
  </w:font>
  <w:font w:name="Garamond">
    <w:altName w:val="Noto Serif Bengali"/>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楷体">
    <w:altName w:val="方正楷体_GBK"/>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华文细黑">
    <w:altName w:val="宋体"/>
    <w:panose1 w:val="02010600040101010101"/>
    <w:charset w:val="86"/>
    <w:family w:val="auto"/>
    <w:pitch w:val="variable"/>
    <w:sig w:usb0="00000287" w:usb1="080F0000" w:usb2="00000010" w:usb3="00000000" w:csb0="0004009F" w:csb1="00000000"/>
  </w:font>
  <w:font w:name="思源黑体">
    <w:altName w:val="方正黑体_GBK"/>
    <w:charset w:val="86"/>
    <w:family w:val="swiss"/>
    <w:pitch w:val="default"/>
    <w:sig w:usb0="00000000" w:usb1="00000000" w:usb2="00000010" w:usb3="00000000" w:csb0="00040000" w:csb1="00000000"/>
  </w:font>
  <w:font w:name="思源宋体.一.">
    <w:altName w:val="宋体"/>
    <w:charset w:val="86"/>
    <w:family w:val="roman"/>
    <w:pitch w:val="default"/>
    <w:sig w:usb0="00000000" w:usb1="0000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方正楷体简体">
    <w:panose1 w:val="02010601030101010101"/>
    <w:charset w:val="86"/>
    <w:family w:val="auto"/>
    <w:pitch w:val="variable"/>
    <w:sig w:usb0="00000001" w:usb1="080E0000" w:usb2="00000010" w:usb3="00000000" w:csb0="00040000" w:csb1="00000000"/>
  </w:font>
  <w:font w:name="等线">
    <w:altName w:val="宋体"/>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3452" w:rsidRDefault="00353A98">
    <w:pPr>
      <w:pStyle w:val="af2"/>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sidR="00AF161A" w:rsidRPr="00AF161A">
      <w:rPr>
        <w:rFonts w:ascii="Times New Roman" w:hAnsi="Times New Roman"/>
        <w:noProof/>
        <w:sz w:val="24"/>
        <w:lang w:val="zh-CN"/>
      </w:rPr>
      <w:t>-</w:t>
    </w:r>
    <w:r w:rsidR="00AF161A">
      <w:rPr>
        <w:rFonts w:ascii="Times New Roman" w:hAnsi="Times New Roman"/>
        <w:noProof/>
        <w:sz w:val="24"/>
      </w:rPr>
      <w:t xml:space="preserve"> 1 -</w:t>
    </w:r>
    <w:r>
      <w:rPr>
        <w:rFonts w:ascii="Times New Roman" w:hAnsi="Times New Roman"/>
        <w:sz w:val="24"/>
      </w:rPr>
      <w:fldChar w:fldCharType="end"/>
    </w:r>
  </w:p>
  <w:p w:rsidR="00753452" w:rsidRDefault="00753452">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161A" w:rsidRDefault="00AF161A">
      <w:r>
        <w:separator/>
      </w:r>
    </w:p>
  </w:footnote>
  <w:footnote w:type="continuationSeparator" w:id="0">
    <w:p w:rsidR="00AF161A" w:rsidRDefault="00AF16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MD1L6"/>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41DF4608"/>
    <w:multiLevelType w:val="multilevel"/>
    <w:tmpl w:val="41DF4608"/>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CharCharCharCharCharCharCharCharCharCharCharCharCharCharCharChar"/>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nsid w:val="463350DD"/>
    <w:multiLevelType w:val="multilevel"/>
    <w:tmpl w:val="463350DD"/>
    <w:lvl w:ilvl="0">
      <w:start w:val="1"/>
      <w:numFmt w:val="decimal"/>
      <w:pStyle w:val="MMTopic3"/>
      <w:suff w:val="space"/>
      <w:lvlText w:val="%1"/>
      <w:lvlJc w:val="left"/>
      <w:pPr>
        <w:ind w:left="0" w:firstLine="0"/>
      </w:pPr>
    </w:lvl>
    <w:lvl w:ilvl="1">
      <w:start w:val="1"/>
      <w:numFmt w:val="decimal"/>
      <w:pStyle w:val="a"/>
      <w:suff w:val="space"/>
      <w:lvlText w:val="%1.%2"/>
      <w:lvlJc w:val="left"/>
      <w:pPr>
        <w:ind w:left="0" w:firstLine="0"/>
      </w:pPr>
    </w:lvl>
    <w:lvl w:ilvl="2">
      <w:start w:val="1"/>
      <w:numFmt w:val="decimal"/>
      <w:pStyle w:val="a0"/>
      <w:suff w:val="space"/>
      <w:lvlText w:val="%1.%2.%3"/>
      <w:lvlJc w:val="left"/>
      <w:pPr>
        <w:ind w:left="0" w:firstLine="0"/>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
    <w:nsid w:val="7B776098"/>
    <w:multiLevelType w:val="multilevel"/>
    <w:tmpl w:val="7B776098"/>
    <w:lvl w:ilvl="0">
      <w:start w:val="1"/>
      <w:numFmt w:val="decimal"/>
      <w:pStyle w:val="3"/>
      <w:lvlText w:val="%1."/>
      <w:lvlJc w:val="left"/>
      <w:pPr>
        <w:tabs>
          <w:tab w:val="left" w:pos="851"/>
        </w:tabs>
        <w:ind w:left="851" w:hanging="851"/>
      </w:pPr>
      <w:rPr>
        <w:rFonts w:hint="default"/>
      </w:rPr>
    </w:lvl>
    <w:lvl w:ilvl="1">
      <w:start w:val="1"/>
      <w:numFmt w:val="decimal"/>
      <w:lvlText w:val="%1.%2"/>
      <w:lvlJc w:val="left"/>
      <w:pPr>
        <w:tabs>
          <w:tab w:val="left" w:pos="851"/>
        </w:tabs>
        <w:ind w:left="851" w:hanging="851"/>
      </w:pPr>
      <w:rPr>
        <w:rFonts w:hint="default"/>
      </w:rPr>
    </w:lvl>
    <w:lvl w:ilvl="2">
      <w:start w:val="1"/>
      <w:numFmt w:val="decimal"/>
      <w:lvlText w:val="%1.%2.%3"/>
      <w:lvlJc w:val="left"/>
      <w:pPr>
        <w:tabs>
          <w:tab w:val="left" w:pos="1134"/>
        </w:tabs>
        <w:ind w:left="1134" w:hanging="1134"/>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E11"/>
    <w:rsid w:val="B9A7EDFF"/>
    <w:rsid w:val="BF6B724C"/>
    <w:rsid w:val="C5EE83D2"/>
    <w:rsid w:val="DCDB5629"/>
    <w:rsid w:val="F7FF8FC8"/>
    <w:rsid w:val="FBE3324D"/>
    <w:rsid w:val="FDA73C5D"/>
    <w:rsid w:val="FEA75C3E"/>
    <w:rsid w:val="FF6F16E9"/>
    <w:rsid w:val="FFBD23B4"/>
    <w:rsid w:val="FFEA005D"/>
    <w:rsid w:val="00000455"/>
    <w:rsid w:val="000023D5"/>
    <w:rsid w:val="00002BD4"/>
    <w:rsid w:val="0000324A"/>
    <w:rsid w:val="0001021C"/>
    <w:rsid w:val="00010989"/>
    <w:rsid w:val="00012A61"/>
    <w:rsid w:val="000136A4"/>
    <w:rsid w:val="00013F07"/>
    <w:rsid w:val="00014769"/>
    <w:rsid w:val="000150BC"/>
    <w:rsid w:val="0001616F"/>
    <w:rsid w:val="00016497"/>
    <w:rsid w:val="00017A18"/>
    <w:rsid w:val="0002007B"/>
    <w:rsid w:val="0002140E"/>
    <w:rsid w:val="0002236A"/>
    <w:rsid w:val="0002531D"/>
    <w:rsid w:val="00025AC2"/>
    <w:rsid w:val="00026C0D"/>
    <w:rsid w:val="00027793"/>
    <w:rsid w:val="00031D39"/>
    <w:rsid w:val="00033482"/>
    <w:rsid w:val="000335FC"/>
    <w:rsid w:val="00042ECA"/>
    <w:rsid w:val="00044584"/>
    <w:rsid w:val="00044A1A"/>
    <w:rsid w:val="00045424"/>
    <w:rsid w:val="00050451"/>
    <w:rsid w:val="00053747"/>
    <w:rsid w:val="00053C6F"/>
    <w:rsid w:val="00055CDF"/>
    <w:rsid w:val="000567EF"/>
    <w:rsid w:val="00056B81"/>
    <w:rsid w:val="00057726"/>
    <w:rsid w:val="0006147F"/>
    <w:rsid w:val="00063720"/>
    <w:rsid w:val="0006491A"/>
    <w:rsid w:val="00065812"/>
    <w:rsid w:val="00066B47"/>
    <w:rsid w:val="00070F08"/>
    <w:rsid w:val="00072228"/>
    <w:rsid w:val="0007319D"/>
    <w:rsid w:val="00073B73"/>
    <w:rsid w:val="00074D0B"/>
    <w:rsid w:val="000751AF"/>
    <w:rsid w:val="00076FFB"/>
    <w:rsid w:val="00082E10"/>
    <w:rsid w:val="00084907"/>
    <w:rsid w:val="00084C42"/>
    <w:rsid w:val="00087254"/>
    <w:rsid w:val="00091AE7"/>
    <w:rsid w:val="00092753"/>
    <w:rsid w:val="00092EB6"/>
    <w:rsid w:val="0009425F"/>
    <w:rsid w:val="000A13E4"/>
    <w:rsid w:val="000A30C5"/>
    <w:rsid w:val="000A3475"/>
    <w:rsid w:val="000A3F9A"/>
    <w:rsid w:val="000A501C"/>
    <w:rsid w:val="000A507D"/>
    <w:rsid w:val="000A5D3E"/>
    <w:rsid w:val="000A6EDA"/>
    <w:rsid w:val="000B03B6"/>
    <w:rsid w:val="000B7353"/>
    <w:rsid w:val="000C040D"/>
    <w:rsid w:val="000C0E5C"/>
    <w:rsid w:val="000C136C"/>
    <w:rsid w:val="000C18D1"/>
    <w:rsid w:val="000C2D95"/>
    <w:rsid w:val="000C2F67"/>
    <w:rsid w:val="000C4FAA"/>
    <w:rsid w:val="000D0F4B"/>
    <w:rsid w:val="000D1D6C"/>
    <w:rsid w:val="000D2870"/>
    <w:rsid w:val="000D46DA"/>
    <w:rsid w:val="000D5DA7"/>
    <w:rsid w:val="000E0381"/>
    <w:rsid w:val="000E0864"/>
    <w:rsid w:val="000E3BC4"/>
    <w:rsid w:val="000E3CA9"/>
    <w:rsid w:val="000E4014"/>
    <w:rsid w:val="000E4223"/>
    <w:rsid w:val="000E473B"/>
    <w:rsid w:val="000E5545"/>
    <w:rsid w:val="000E7FA6"/>
    <w:rsid w:val="000F06BD"/>
    <w:rsid w:val="000F20FE"/>
    <w:rsid w:val="000F7841"/>
    <w:rsid w:val="001002CA"/>
    <w:rsid w:val="00101CA6"/>
    <w:rsid w:val="001054E8"/>
    <w:rsid w:val="00106C03"/>
    <w:rsid w:val="001106AC"/>
    <w:rsid w:val="00110DF7"/>
    <w:rsid w:val="00112A4D"/>
    <w:rsid w:val="00114296"/>
    <w:rsid w:val="00114716"/>
    <w:rsid w:val="0011768C"/>
    <w:rsid w:val="00120B44"/>
    <w:rsid w:val="00122255"/>
    <w:rsid w:val="00125D73"/>
    <w:rsid w:val="0012717B"/>
    <w:rsid w:val="001304A1"/>
    <w:rsid w:val="001312BA"/>
    <w:rsid w:val="00131535"/>
    <w:rsid w:val="00133896"/>
    <w:rsid w:val="001348DB"/>
    <w:rsid w:val="00135182"/>
    <w:rsid w:val="00135DF8"/>
    <w:rsid w:val="00137875"/>
    <w:rsid w:val="00140456"/>
    <w:rsid w:val="00140C0C"/>
    <w:rsid w:val="0014171E"/>
    <w:rsid w:val="00143A77"/>
    <w:rsid w:val="00144110"/>
    <w:rsid w:val="0014473A"/>
    <w:rsid w:val="00150AD1"/>
    <w:rsid w:val="00153E7D"/>
    <w:rsid w:val="0015770C"/>
    <w:rsid w:val="00157B38"/>
    <w:rsid w:val="0016022A"/>
    <w:rsid w:val="00160A5D"/>
    <w:rsid w:val="00162187"/>
    <w:rsid w:val="00162945"/>
    <w:rsid w:val="00163FC4"/>
    <w:rsid w:val="0016421C"/>
    <w:rsid w:val="00170279"/>
    <w:rsid w:val="0017289D"/>
    <w:rsid w:val="001744EE"/>
    <w:rsid w:val="0017503F"/>
    <w:rsid w:val="00175A75"/>
    <w:rsid w:val="00175FA3"/>
    <w:rsid w:val="00176B10"/>
    <w:rsid w:val="0017795B"/>
    <w:rsid w:val="001829D3"/>
    <w:rsid w:val="00182CCB"/>
    <w:rsid w:val="001841BD"/>
    <w:rsid w:val="00184A07"/>
    <w:rsid w:val="00184C0E"/>
    <w:rsid w:val="00185BE5"/>
    <w:rsid w:val="00187AF0"/>
    <w:rsid w:val="00197D6E"/>
    <w:rsid w:val="001A00DA"/>
    <w:rsid w:val="001A0812"/>
    <w:rsid w:val="001A09B8"/>
    <w:rsid w:val="001A1A2C"/>
    <w:rsid w:val="001A3511"/>
    <w:rsid w:val="001A3637"/>
    <w:rsid w:val="001A50F7"/>
    <w:rsid w:val="001B2D25"/>
    <w:rsid w:val="001B3146"/>
    <w:rsid w:val="001B3A2C"/>
    <w:rsid w:val="001B3CA2"/>
    <w:rsid w:val="001B4879"/>
    <w:rsid w:val="001B520B"/>
    <w:rsid w:val="001B667C"/>
    <w:rsid w:val="001B69B6"/>
    <w:rsid w:val="001B7425"/>
    <w:rsid w:val="001C316A"/>
    <w:rsid w:val="001C3635"/>
    <w:rsid w:val="001C547A"/>
    <w:rsid w:val="001C7256"/>
    <w:rsid w:val="001D0ACD"/>
    <w:rsid w:val="001D23AA"/>
    <w:rsid w:val="001D7DB2"/>
    <w:rsid w:val="001D7E71"/>
    <w:rsid w:val="001E1830"/>
    <w:rsid w:val="001E7450"/>
    <w:rsid w:val="001E7C16"/>
    <w:rsid w:val="001F1D5E"/>
    <w:rsid w:val="001F268E"/>
    <w:rsid w:val="001F286F"/>
    <w:rsid w:val="001F3BE6"/>
    <w:rsid w:val="001F44F6"/>
    <w:rsid w:val="00200C7F"/>
    <w:rsid w:val="00203178"/>
    <w:rsid w:val="00203894"/>
    <w:rsid w:val="00203C32"/>
    <w:rsid w:val="00206CEB"/>
    <w:rsid w:val="00207615"/>
    <w:rsid w:val="0021312A"/>
    <w:rsid w:val="00213DA9"/>
    <w:rsid w:val="002157FB"/>
    <w:rsid w:val="00216E10"/>
    <w:rsid w:val="00217E98"/>
    <w:rsid w:val="002205D0"/>
    <w:rsid w:val="00220EFE"/>
    <w:rsid w:val="00222200"/>
    <w:rsid w:val="00222896"/>
    <w:rsid w:val="00222924"/>
    <w:rsid w:val="002229AD"/>
    <w:rsid w:val="00224076"/>
    <w:rsid w:val="00224198"/>
    <w:rsid w:val="00224291"/>
    <w:rsid w:val="002243EB"/>
    <w:rsid w:val="002246E8"/>
    <w:rsid w:val="00227FB1"/>
    <w:rsid w:val="002331BC"/>
    <w:rsid w:val="002339B3"/>
    <w:rsid w:val="00233F6D"/>
    <w:rsid w:val="00234C36"/>
    <w:rsid w:val="00235A56"/>
    <w:rsid w:val="00236227"/>
    <w:rsid w:val="00237CE8"/>
    <w:rsid w:val="002407CC"/>
    <w:rsid w:val="0024164C"/>
    <w:rsid w:val="00244DE5"/>
    <w:rsid w:val="002451DC"/>
    <w:rsid w:val="002464F9"/>
    <w:rsid w:val="0024749F"/>
    <w:rsid w:val="00247977"/>
    <w:rsid w:val="00247D21"/>
    <w:rsid w:val="002514AD"/>
    <w:rsid w:val="002529CA"/>
    <w:rsid w:val="0025360F"/>
    <w:rsid w:val="00253698"/>
    <w:rsid w:val="0025583A"/>
    <w:rsid w:val="00262302"/>
    <w:rsid w:val="0026395E"/>
    <w:rsid w:val="002640A3"/>
    <w:rsid w:val="002644E8"/>
    <w:rsid w:val="00265114"/>
    <w:rsid w:val="00266947"/>
    <w:rsid w:val="00273C13"/>
    <w:rsid w:val="00274854"/>
    <w:rsid w:val="00274E62"/>
    <w:rsid w:val="00275A4F"/>
    <w:rsid w:val="00275B28"/>
    <w:rsid w:val="00275E52"/>
    <w:rsid w:val="00276127"/>
    <w:rsid w:val="00276403"/>
    <w:rsid w:val="0028128D"/>
    <w:rsid w:val="0028197B"/>
    <w:rsid w:val="00284715"/>
    <w:rsid w:val="00286501"/>
    <w:rsid w:val="00286E11"/>
    <w:rsid w:val="00290A02"/>
    <w:rsid w:val="00291F8A"/>
    <w:rsid w:val="00292BA1"/>
    <w:rsid w:val="0029383F"/>
    <w:rsid w:val="00293868"/>
    <w:rsid w:val="00294FC8"/>
    <w:rsid w:val="00297173"/>
    <w:rsid w:val="002975A7"/>
    <w:rsid w:val="002A00AF"/>
    <w:rsid w:val="002A03CC"/>
    <w:rsid w:val="002A2E12"/>
    <w:rsid w:val="002A5185"/>
    <w:rsid w:val="002A7D7D"/>
    <w:rsid w:val="002B0A31"/>
    <w:rsid w:val="002B1572"/>
    <w:rsid w:val="002B4244"/>
    <w:rsid w:val="002B4586"/>
    <w:rsid w:val="002B50E5"/>
    <w:rsid w:val="002C02DF"/>
    <w:rsid w:val="002C1F63"/>
    <w:rsid w:val="002C2059"/>
    <w:rsid w:val="002C2322"/>
    <w:rsid w:val="002C2D82"/>
    <w:rsid w:val="002C4A1D"/>
    <w:rsid w:val="002C548E"/>
    <w:rsid w:val="002C6BC9"/>
    <w:rsid w:val="002C7E89"/>
    <w:rsid w:val="002D19AF"/>
    <w:rsid w:val="002D41A7"/>
    <w:rsid w:val="002D4757"/>
    <w:rsid w:val="002D542C"/>
    <w:rsid w:val="002D6079"/>
    <w:rsid w:val="002D64DF"/>
    <w:rsid w:val="002E11D1"/>
    <w:rsid w:val="002E370D"/>
    <w:rsid w:val="002E402C"/>
    <w:rsid w:val="002E6DC4"/>
    <w:rsid w:val="002F03D2"/>
    <w:rsid w:val="002F0C96"/>
    <w:rsid w:val="002F19EE"/>
    <w:rsid w:val="002F2D07"/>
    <w:rsid w:val="002F4CAC"/>
    <w:rsid w:val="002F5A17"/>
    <w:rsid w:val="002F622D"/>
    <w:rsid w:val="002F7820"/>
    <w:rsid w:val="003000C7"/>
    <w:rsid w:val="00300AAB"/>
    <w:rsid w:val="003018DD"/>
    <w:rsid w:val="00301B74"/>
    <w:rsid w:val="0030260F"/>
    <w:rsid w:val="003044D1"/>
    <w:rsid w:val="00305DB1"/>
    <w:rsid w:val="003101E0"/>
    <w:rsid w:val="003155BB"/>
    <w:rsid w:val="00315A8F"/>
    <w:rsid w:val="00315C69"/>
    <w:rsid w:val="00316049"/>
    <w:rsid w:val="00316BA9"/>
    <w:rsid w:val="0031715F"/>
    <w:rsid w:val="00321991"/>
    <w:rsid w:val="0032225A"/>
    <w:rsid w:val="0032337C"/>
    <w:rsid w:val="00323A80"/>
    <w:rsid w:val="00323E19"/>
    <w:rsid w:val="00324363"/>
    <w:rsid w:val="003250DC"/>
    <w:rsid w:val="00326978"/>
    <w:rsid w:val="00326A66"/>
    <w:rsid w:val="003308EC"/>
    <w:rsid w:val="00331325"/>
    <w:rsid w:val="003321E9"/>
    <w:rsid w:val="0033264E"/>
    <w:rsid w:val="00334577"/>
    <w:rsid w:val="0033623F"/>
    <w:rsid w:val="00337564"/>
    <w:rsid w:val="00340C97"/>
    <w:rsid w:val="00341113"/>
    <w:rsid w:val="00342EAD"/>
    <w:rsid w:val="00350AEE"/>
    <w:rsid w:val="00351A97"/>
    <w:rsid w:val="00351DA9"/>
    <w:rsid w:val="00353A98"/>
    <w:rsid w:val="0035452E"/>
    <w:rsid w:val="003552DF"/>
    <w:rsid w:val="003560E2"/>
    <w:rsid w:val="003616BB"/>
    <w:rsid w:val="00363181"/>
    <w:rsid w:val="003635B0"/>
    <w:rsid w:val="00363817"/>
    <w:rsid w:val="00363FF9"/>
    <w:rsid w:val="003640D1"/>
    <w:rsid w:val="0036702A"/>
    <w:rsid w:val="00370886"/>
    <w:rsid w:val="003711A9"/>
    <w:rsid w:val="00371E9C"/>
    <w:rsid w:val="00372197"/>
    <w:rsid w:val="00372BC2"/>
    <w:rsid w:val="00372CDF"/>
    <w:rsid w:val="003745B1"/>
    <w:rsid w:val="00375029"/>
    <w:rsid w:val="00376801"/>
    <w:rsid w:val="00381BD7"/>
    <w:rsid w:val="00392360"/>
    <w:rsid w:val="00392842"/>
    <w:rsid w:val="003931D8"/>
    <w:rsid w:val="00394C72"/>
    <w:rsid w:val="0039556F"/>
    <w:rsid w:val="00397374"/>
    <w:rsid w:val="00397509"/>
    <w:rsid w:val="003A088D"/>
    <w:rsid w:val="003A0BFD"/>
    <w:rsid w:val="003A34F5"/>
    <w:rsid w:val="003A404C"/>
    <w:rsid w:val="003A50EF"/>
    <w:rsid w:val="003A5263"/>
    <w:rsid w:val="003B0013"/>
    <w:rsid w:val="003B0327"/>
    <w:rsid w:val="003B0F9A"/>
    <w:rsid w:val="003B2690"/>
    <w:rsid w:val="003B2A2D"/>
    <w:rsid w:val="003B409E"/>
    <w:rsid w:val="003B4616"/>
    <w:rsid w:val="003B4AA6"/>
    <w:rsid w:val="003B5AE8"/>
    <w:rsid w:val="003B687A"/>
    <w:rsid w:val="003B6BC6"/>
    <w:rsid w:val="003B6DFF"/>
    <w:rsid w:val="003B73DE"/>
    <w:rsid w:val="003B796E"/>
    <w:rsid w:val="003C01C6"/>
    <w:rsid w:val="003C1904"/>
    <w:rsid w:val="003C2BC7"/>
    <w:rsid w:val="003C4118"/>
    <w:rsid w:val="003C497C"/>
    <w:rsid w:val="003D2032"/>
    <w:rsid w:val="003D67B3"/>
    <w:rsid w:val="003E03C8"/>
    <w:rsid w:val="003E3224"/>
    <w:rsid w:val="003E360D"/>
    <w:rsid w:val="003E5050"/>
    <w:rsid w:val="003E6BB7"/>
    <w:rsid w:val="003F02B5"/>
    <w:rsid w:val="003F0DE6"/>
    <w:rsid w:val="003F232C"/>
    <w:rsid w:val="003F3624"/>
    <w:rsid w:val="003F68D3"/>
    <w:rsid w:val="003F71AD"/>
    <w:rsid w:val="003F7E01"/>
    <w:rsid w:val="00402FD5"/>
    <w:rsid w:val="004030CB"/>
    <w:rsid w:val="0040331D"/>
    <w:rsid w:val="00403D0B"/>
    <w:rsid w:val="0040403E"/>
    <w:rsid w:val="00404A70"/>
    <w:rsid w:val="00404C70"/>
    <w:rsid w:val="00405BDD"/>
    <w:rsid w:val="00406F9E"/>
    <w:rsid w:val="00410FEB"/>
    <w:rsid w:val="00413893"/>
    <w:rsid w:val="004140AE"/>
    <w:rsid w:val="00415F1E"/>
    <w:rsid w:val="004166C8"/>
    <w:rsid w:val="00416B52"/>
    <w:rsid w:val="0042267D"/>
    <w:rsid w:val="0042291D"/>
    <w:rsid w:val="00423D82"/>
    <w:rsid w:val="00430DA5"/>
    <w:rsid w:val="00431C1B"/>
    <w:rsid w:val="00432615"/>
    <w:rsid w:val="00434902"/>
    <w:rsid w:val="00434CDD"/>
    <w:rsid w:val="0044257E"/>
    <w:rsid w:val="00443BB0"/>
    <w:rsid w:val="00444F7D"/>
    <w:rsid w:val="00445981"/>
    <w:rsid w:val="004460B2"/>
    <w:rsid w:val="004461FC"/>
    <w:rsid w:val="004515C9"/>
    <w:rsid w:val="00451AC5"/>
    <w:rsid w:val="00451E47"/>
    <w:rsid w:val="00452CF6"/>
    <w:rsid w:val="00453EF4"/>
    <w:rsid w:val="0045407D"/>
    <w:rsid w:val="00454387"/>
    <w:rsid w:val="004547B2"/>
    <w:rsid w:val="00454CF4"/>
    <w:rsid w:val="00455337"/>
    <w:rsid w:val="00455CAF"/>
    <w:rsid w:val="004574D1"/>
    <w:rsid w:val="00457684"/>
    <w:rsid w:val="00466A59"/>
    <w:rsid w:val="00467084"/>
    <w:rsid w:val="00472208"/>
    <w:rsid w:val="00474CB0"/>
    <w:rsid w:val="00477382"/>
    <w:rsid w:val="00477872"/>
    <w:rsid w:val="00477A2B"/>
    <w:rsid w:val="004810C2"/>
    <w:rsid w:val="004821EA"/>
    <w:rsid w:val="00483156"/>
    <w:rsid w:val="00483E8E"/>
    <w:rsid w:val="004841CB"/>
    <w:rsid w:val="0048473A"/>
    <w:rsid w:val="00487CE9"/>
    <w:rsid w:val="00490EBC"/>
    <w:rsid w:val="004918AF"/>
    <w:rsid w:val="004936DF"/>
    <w:rsid w:val="00495FAA"/>
    <w:rsid w:val="00496943"/>
    <w:rsid w:val="004A0F54"/>
    <w:rsid w:val="004A1DF6"/>
    <w:rsid w:val="004A4FBF"/>
    <w:rsid w:val="004A7626"/>
    <w:rsid w:val="004A78FE"/>
    <w:rsid w:val="004A7AEB"/>
    <w:rsid w:val="004B0839"/>
    <w:rsid w:val="004B1E1B"/>
    <w:rsid w:val="004B2B76"/>
    <w:rsid w:val="004B2BF7"/>
    <w:rsid w:val="004B369D"/>
    <w:rsid w:val="004B58CF"/>
    <w:rsid w:val="004C1F4F"/>
    <w:rsid w:val="004C3A91"/>
    <w:rsid w:val="004C4A63"/>
    <w:rsid w:val="004C6050"/>
    <w:rsid w:val="004C7A05"/>
    <w:rsid w:val="004D2376"/>
    <w:rsid w:val="004D27BA"/>
    <w:rsid w:val="004E0232"/>
    <w:rsid w:val="004E0E38"/>
    <w:rsid w:val="004E130C"/>
    <w:rsid w:val="004E198E"/>
    <w:rsid w:val="004E4E42"/>
    <w:rsid w:val="004F05E6"/>
    <w:rsid w:val="004F162D"/>
    <w:rsid w:val="004F2246"/>
    <w:rsid w:val="00503A14"/>
    <w:rsid w:val="00503C37"/>
    <w:rsid w:val="00504562"/>
    <w:rsid w:val="00505442"/>
    <w:rsid w:val="00505CD5"/>
    <w:rsid w:val="00505F7C"/>
    <w:rsid w:val="00506154"/>
    <w:rsid w:val="00506F87"/>
    <w:rsid w:val="00512257"/>
    <w:rsid w:val="005129C7"/>
    <w:rsid w:val="00513703"/>
    <w:rsid w:val="005142E2"/>
    <w:rsid w:val="00514ABC"/>
    <w:rsid w:val="00516A0A"/>
    <w:rsid w:val="005171BC"/>
    <w:rsid w:val="005215A2"/>
    <w:rsid w:val="00521F63"/>
    <w:rsid w:val="00522A63"/>
    <w:rsid w:val="00522C56"/>
    <w:rsid w:val="005230F5"/>
    <w:rsid w:val="00524671"/>
    <w:rsid w:val="00527EA5"/>
    <w:rsid w:val="0053337D"/>
    <w:rsid w:val="00534937"/>
    <w:rsid w:val="00535294"/>
    <w:rsid w:val="005374A3"/>
    <w:rsid w:val="005424A7"/>
    <w:rsid w:val="00543003"/>
    <w:rsid w:val="005440CE"/>
    <w:rsid w:val="00546B77"/>
    <w:rsid w:val="00546DF6"/>
    <w:rsid w:val="00546F9E"/>
    <w:rsid w:val="0055054A"/>
    <w:rsid w:val="0055095D"/>
    <w:rsid w:val="005523DD"/>
    <w:rsid w:val="005554D3"/>
    <w:rsid w:val="005578B1"/>
    <w:rsid w:val="005578B4"/>
    <w:rsid w:val="00557D0A"/>
    <w:rsid w:val="00560771"/>
    <w:rsid w:val="00561F0D"/>
    <w:rsid w:val="00562A0F"/>
    <w:rsid w:val="00563B12"/>
    <w:rsid w:val="0056563F"/>
    <w:rsid w:val="0056671C"/>
    <w:rsid w:val="00566A69"/>
    <w:rsid w:val="0057011D"/>
    <w:rsid w:val="00571CC9"/>
    <w:rsid w:val="0057331E"/>
    <w:rsid w:val="005742CA"/>
    <w:rsid w:val="00574725"/>
    <w:rsid w:val="00576414"/>
    <w:rsid w:val="00583887"/>
    <w:rsid w:val="00583F94"/>
    <w:rsid w:val="00586AF9"/>
    <w:rsid w:val="00586D66"/>
    <w:rsid w:val="0058721C"/>
    <w:rsid w:val="00587DC2"/>
    <w:rsid w:val="00596B10"/>
    <w:rsid w:val="0059730F"/>
    <w:rsid w:val="005A48DE"/>
    <w:rsid w:val="005A4D0E"/>
    <w:rsid w:val="005A758A"/>
    <w:rsid w:val="005A7EDF"/>
    <w:rsid w:val="005B0577"/>
    <w:rsid w:val="005B18FD"/>
    <w:rsid w:val="005B267F"/>
    <w:rsid w:val="005B4D70"/>
    <w:rsid w:val="005B52DD"/>
    <w:rsid w:val="005C02CE"/>
    <w:rsid w:val="005C0F62"/>
    <w:rsid w:val="005C1F4E"/>
    <w:rsid w:val="005C2B89"/>
    <w:rsid w:val="005C4746"/>
    <w:rsid w:val="005C5201"/>
    <w:rsid w:val="005C5E4E"/>
    <w:rsid w:val="005C6A89"/>
    <w:rsid w:val="005D031B"/>
    <w:rsid w:val="005D0521"/>
    <w:rsid w:val="005D07E1"/>
    <w:rsid w:val="005D2719"/>
    <w:rsid w:val="005E2236"/>
    <w:rsid w:val="005E623A"/>
    <w:rsid w:val="005E675D"/>
    <w:rsid w:val="005F042B"/>
    <w:rsid w:val="005F66CF"/>
    <w:rsid w:val="005F7882"/>
    <w:rsid w:val="006036AE"/>
    <w:rsid w:val="006038EE"/>
    <w:rsid w:val="0060506F"/>
    <w:rsid w:val="00607C87"/>
    <w:rsid w:val="00610713"/>
    <w:rsid w:val="006112CB"/>
    <w:rsid w:val="00613574"/>
    <w:rsid w:val="0061381E"/>
    <w:rsid w:val="0061444F"/>
    <w:rsid w:val="00614765"/>
    <w:rsid w:val="006167F4"/>
    <w:rsid w:val="00617962"/>
    <w:rsid w:val="0062003D"/>
    <w:rsid w:val="00621747"/>
    <w:rsid w:val="006242B5"/>
    <w:rsid w:val="006250B0"/>
    <w:rsid w:val="00625457"/>
    <w:rsid w:val="00625604"/>
    <w:rsid w:val="006308D5"/>
    <w:rsid w:val="0063092D"/>
    <w:rsid w:val="00630CA1"/>
    <w:rsid w:val="00630F3A"/>
    <w:rsid w:val="00634C5D"/>
    <w:rsid w:val="006377D1"/>
    <w:rsid w:val="00640056"/>
    <w:rsid w:val="006413A1"/>
    <w:rsid w:val="00642306"/>
    <w:rsid w:val="00642808"/>
    <w:rsid w:val="006447A9"/>
    <w:rsid w:val="00645283"/>
    <w:rsid w:val="0064640E"/>
    <w:rsid w:val="00646B88"/>
    <w:rsid w:val="00651718"/>
    <w:rsid w:val="00651942"/>
    <w:rsid w:val="00651AB9"/>
    <w:rsid w:val="0065318E"/>
    <w:rsid w:val="00655EF8"/>
    <w:rsid w:val="00655F65"/>
    <w:rsid w:val="006569C3"/>
    <w:rsid w:val="00660904"/>
    <w:rsid w:val="00661029"/>
    <w:rsid w:val="00661EDE"/>
    <w:rsid w:val="00662E23"/>
    <w:rsid w:val="0066304D"/>
    <w:rsid w:val="00666694"/>
    <w:rsid w:val="00666CBF"/>
    <w:rsid w:val="00666E27"/>
    <w:rsid w:val="006673E1"/>
    <w:rsid w:val="0066782E"/>
    <w:rsid w:val="0067100B"/>
    <w:rsid w:val="006733F9"/>
    <w:rsid w:val="0067511D"/>
    <w:rsid w:val="006756AE"/>
    <w:rsid w:val="00677BB7"/>
    <w:rsid w:val="00680753"/>
    <w:rsid w:val="00680A61"/>
    <w:rsid w:val="00680C55"/>
    <w:rsid w:val="00680FCB"/>
    <w:rsid w:val="00681E18"/>
    <w:rsid w:val="00682090"/>
    <w:rsid w:val="00683186"/>
    <w:rsid w:val="00684244"/>
    <w:rsid w:val="0068647A"/>
    <w:rsid w:val="006873E2"/>
    <w:rsid w:val="00687C8B"/>
    <w:rsid w:val="00687F93"/>
    <w:rsid w:val="0069243F"/>
    <w:rsid w:val="00693B57"/>
    <w:rsid w:val="00693F14"/>
    <w:rsid w:val="0069433E"/>
    <w:rsid w:val="0069621A"/>
    <w:rsid w:val="0069627C"/>
    <w:rsid w:val="00696971"/>
    <w:rsid w:val="00696D9C"/>
    <w:rsid w:val="00696FAA"/>
    <w:rsid w:val="006A03B9"/>
    <w:rsid w:val="006A0696"/>
    <w:rsid w:val="006A2548"/>
    <w:rsid w:val="006A6063"/>
    <w:rsid w:val="006A6715"/>
    <w:rsid w:val="006A6F30"/>
    <w:rsid w:val="006A74E8"/>
    <w:rsid w:val="006A7690"/>
    <w:rsid w:val="006B0B1F"/>
    <w:rsid w:val="006B11C6"/>
    <w:rsid w:val="006B1378"/>
    <w:rsid w:val="006B2832"/>
    <w:rsid w:val="006B2C84"/>
    <w:rsid w:val="006B48B2"/>
    <w:rsid w:val="006B58C4"/>
    <w:rsid w:val="006B62C8"/>
    <w:rsid w:val="006B6346"/>
    <w:rsid w:val="006B685D"/>
    <w:rsid w:val="006B7FAA"/>
    <w:rsid w:val="006C0D12"/>
    <w:rsid w:val="006C1775"/>
    <w:rsid w:val="006C7553"/>
    <w:rsid w:val="006D1356"/>
    <w:rsid w:val="006D1612"/>
    <w:rsid w:val="006D1C15"/>
    <w:rsid w:val="006D2E84"/>
    <w:rsid w:val="006D40E9"/>
    <w:rsid w:val="006D5B73"/>
    <w:rsid w:val="006E032C"/>
    <w:rsid w:val="006E2A45"/>
    <w:rsid w:val="006E2D71"/>
    <w:rsid w:val="006E2D7A"/>
    <w:rsid w:val="006E3C6A"/>
    <w:rsid w:val="006E534F"/>
    <w:rsid w:val="006E5CC5"/>
    <w:rsid w:val="006E6EF7"/>
    <w:rsid w:val="006E74C9"/>
    <w:rsid w:val="006F2A97"/>
    <w:rsid w:val="006F66B7"/>
    <w:rsid w:val="0070283E"/>
    <w:rsid w:val="007034FF"/>
    <w:rsid w:val="00703BD5"/>
    <w:rsid w:val="00704EC7"/>
    <w:rsid w:val="007055FD"/>
    <w:rsid w:val="0070578B"/>
    <w:rsid w:val="007065AE"/>
    <w:rsid w:val="00706DDA"/>
    <w:rsid w:val="00710EB5"/>
    <w:rsid w:val="007114A7"/>
    <w:rsid w:val="00711FA9"/>
    <w:rsid w:val="00712A39"/>
    <w:rsid w:val="0071363E"/>
    <w:rsid w:val="00714B26"/>
    <w:rsid w:val="00715C61"/>
    <w:rsid w:val="0072241B"/>
    <w:rsid w:val="00722C56"/>
    <w:rsid w:val="0072568D"/>
    <w:rsid w:val="007257BC"/>
    <w:rsid w:val="00725CFE"/>
    <w:rsid w:val="00726FC5"/>
    <w:rsid w:val="00727131"/>
    <w:rsid w:val="00727718"/>
    <w:rsid w:val="00730C17"/>
    <w:rsid w:val="00731AB9"/>
    <w:rsid w:val="0073278F"/>
    <w:rsid w:val="00733B45"/>
    <w:rsid w:val="007346AC"/>
    <w:rsid w:val="00734A2C"/>
    <w:rsid w:val="00734A5E"/>
    <w:rsid w:val="00734C4F"/>
    <w:rsid w:val="00741C19"/>
    <w:rsid w:val="007468DC"/>
    <w:rsid w:val="00750270"/>
    <w:rsid w:val="00752BC1"/>
    <w:rsid w:val="00753452"/>
    <w:rsid w:val="007565CA"/>
    <w:rsid w:val="007568C1"/>
    <w:rsid w:val="00756BF8"/>
    <w:rsid w:val="00760815"/>
    <w:rsid w:val="00760D73"/>
    <w:rsid w:val="00762482"/>
    <w:rsid w:val="00762B30"/>
    <w:rsid w:val="007634F1"/>
    <w:rsid w:val="00763669"/>
    <w:rsid w:val="00763CB4"/>
    <w:rsid w:val="007640C1"/>
    <w:rsid w:val="0076550C"/>
    <w:rsid w:val="0076725E"/>
    <w:rsid w:val="00771126"/>
    <w:rsid w:val="00771C3E"/>
    <w:rsid w:val="00772B59"/>
    <w:rsid w:val="00775245"/>
    <w:rsid w:val="00775974"/>
    <w:rsid w:val="00776053"/>
    <w:rsid w:val="0077617F"/>
    <w:rsid w:val="00777159"/>
    <w:rsid w:val="00780684"/>
    <w:rsid w:val="00782976"/>
    <w:rsid w:val="00782D1F"/>
    <w:rsid w:val="007847BC"/>
    <w:rsid w:val="00784CB7"/>
    <w:rsid w:val="007850CF"/>
    <w:rsid w:val="00785448"/>
    <w:rsid w:val="00785FBC"/>
    <w:rsid w:val="0078600E"/>
    <w:rsid w:val="00790505"/>
    <w:rsid w:val="0079187A"/>
    <w:rsid w:val="0079210C"/>
    <w:rsid w:val="007921A7"/>
    <w:rsid w:val="007921DB"/>
    <w:rsid w:val="0079286A"/>
    <w:rsid w:val="00793974"/>
    <w:rsid w:val="00793F4D"/>
    <w:rsid w:val="00796C56"/>
    <w:rsid w:val="00796E23"/>
    <w:rsid w:val="00796EC1"/>
    <w:rsid w:val="007A1172"/>
    <w:rsid w:val="007A2973"/>
    <w:rsid w:val="007A3547"/>
    <w:rsid w:val="007A4409"/>
    <w:rsid w:val="007A5A14"/>
    <w:rsid w:val="007A6F73"/>
    <w:rsid w:val="007B1DF0"/>
    <w:rsid w:val="007B43CE"/>
    <w:rsid w:val="007B55A1"/>
    <w:rsid w:val="007B6AC7"/>
    <w:rsid w:val="007B70EB"/>
    <w:rsid w:val="007B725B"/>
    <w:rsid w:val="007C0915"/>
    <w:rsid w:val="007C0E10"/>
    <w:rsid w:val="007C0E71"/>
    <w:rsid w:val="007C42C1"/>
    <w:rsid w:val="007C4719"/>
    <w:rsid w:val="007C4777"/>
    <w:rsid w:val="007C6ABD"/>
    <w:rsid w:val="007D3EF9"/>
    <w:rsid w:val="007D4160"/>
    <w:rsid w:val="007D4538"/>
    <w:rsid w:val="007D4739"/>
    <w:rsid w:val="007D4B9D"/>
    <w:rsid w:val="007D55B3"/>
    <w:rsid w:val="007D5E92"/>
    <w:rsid w:val="007D7DE8"/>
    <w:rsid w:val="007E3673"/>
    <w:rsid w:val="007E47DC"/>
    <w:rsid w:val="007E6F22"/>
    <w:rsid w:val="007F0779"/>
    <w:rsid w:val="007F2E39"/>
    <w:rsid w:val="007F4327"/>
    <w:rsid w:val="007F69F1"/>
    <w:rsid w:val="008024D7"/>
    <w:rsid w:val="008027BC"/>
    <w:rsid w:val="0080299E"/>
    <w:rsid w:val="008042A7"/>
    <w:rsid w:val="0080641E"/>
    <w:rsid w:val="008078F7"/>
    <w:rsid w:val="00811B35"/>
    <w:rsid w:val="008120FF"/>
    <w:rsid w:val="00816F35"/>
    <w:rsid w:val="00817D25"/>
    <w:rsid w:val="00821BD7"/>
    <w:rsid w:val="00822F20"/>
    <w:rsid w:val="00827292"/>
    <w:rsid w:val="008315BC"/>
    <w:rsid w:val="00832C60"/>
    <w:rsid w:val="00834EAF"/>
    <w:rsid w:val="008371D4"/>
    <w:rsid w:val="00842600"/>
    <w:rsid w:val="00842F37"/>
    <w:rsid w:val="00843EE4"/>
    <w:rsid w:val="00846BD3"/>
    <w:rsid w:val="00851B11"/>
    <w:rsid w:val="00851BBC"/>
    <w:rsid w:val="00851E9A"/>
    <w:rsid w:val="008540D3"/>
    <w:rsid w:val="00854BA9"/>
    <w:rsid w:val="00856F54"/>
    <w:rsid w:val="008607D8"/>
    <w:rsid w:val="00861723"/>
    <w:rsid w:val="00862049"/>
    <w:rsid w:val="008645AC"/>
    <w:rsid w:val="008707E3"/>
    <w:rsid w:val="00870C1A"/>
    <w:rsid w:val="00871A29"/>
    <w:rsid w:val="00872317"/>
    <w:rsid w:val="00873C79"/>
    <w:rsid w:val="0087668F"/>
    <w:rsid w:val="00877409"/>
    <w:rsid w:val="008801AB"/>
    <w:rsid w:val="00880766"/>
    <w:rsid w:val="00880F87"/>
    <w:rsid w:val="00882172"/>
    <w:rsid w:val="0088254D"/>
    <w:rsid w:val="008833C9"/>
    <w:rsid w:val="008835A6"/>
    <w:rsid w:val="00885FEF"/>
    <w:rsid w:val="00890281"/>
    <w:rsid w:val="00891EF8"/>
    <w:rsid w:val="008925C8"/>
    <w:rsid w:val="00892767"/>
    <w:rsid w:val="00893950"/>
    <w:rsid w:val="00894039"/>
    <w:rsid w:val="0089502A"/>
    <w:rsid w:val="008A5A38"/>
    <w:rsid w:val="008A69D0"/>
    <w:rsid w:val="008A7FBC"/>
    <w:rsid w:val="008B0E0C"/>
    <w:rsid w:val="008B0FE2"/>
    <w:rsid w:val="008B66B9"/>
    <w:rsid w:val="008C10DC"/>
    <w:rsid w:val="008C2574"/>
    <w:rsid w:val="008C39AB"/>
    <w:rsid w:val="008C39B6"/>
    <w:rsid w:val="008C41FE"/>
    <w:rsid w:val="008C5BE8"/>
    <w:rsid w:val="008C5E53"/>
    <w:rsid w:val="008C6051"/>
    <w:rsid w:val="008C7582"/>
    <w:rsid w:val="008D0135"/>
    <w:rsid w:val="008D0964"/>
    <w:rsid w:val="008D1211"/>
    <w:rsid w:val="008D181D"/>
    <w:rsid w:val="008D24D8"/>
    <w:rsid w:val="008D25D7"/>
    <w:rsid w:val="008D3AEF"/>
    <w:rsid w:val="008D5316"/>
    <w:rsid w:val="008D56A2"/>
    <w:rsid w:val="008D69E4"/>
    <w:rsid w:val="008D6CD5"/>
    <w:rsid w:val="008E29D5"/>
    <w:rsid w:val="008E3C2F"/>
    <w:rsid w:val="008E45BF"/>
    <w:rsid w:val="008E56F6"/>
    <w:rsid w:val="008F0CF4"/>
    <w:rsid w:val="008F14EA"/>
    <w:rsid w:val="008F1B61"/>
    <w:rsid w:val="008F3350"/>
    <w:rsid w:val="008F4222"/>
    <w:rsid w:val="008F70DC"/>
    <w:rsid w:val="008F763B"/>
    <w:rsid w:val="008F7FA7"/>
    <w:rsid w:val="009016CC"/>
    <w:rsid w:val="009050A1"/>
    <w:rsid w:val="0091269D"/>
    <w:rsid w:val="00913B25"/>
    <w:rsid w:val="0091544A"/>
    <w:rsid w:val="0092588F"/>
    <w:rsid w:val="009258C4"/>
    <w:rsid w:val="00926433"/>
    <w:rsid w:val="009265D5"/>
    <w:rsid w:val="00926F8D"/>
    <w:rsid w:val="009276E4"/>
    <w:rsid w:val="009276E6"/>
    <w:rsid w:val="009319D7"/>
    <w:rsid w:val="00931F43"/>
    <w:rsid w:val="00931FAD"/>
    <w:rsid w:val="00934DCD"/>
    <w:rsid w:val="00936253"/>
    <w:rsid w:val="0093725E"/>
    <w:rsid w:val="00937331"/>
    <w:rsid w:val="00940D69"/>
    <w:rsid w:val="00943BDE"/>
    <w:rsid w:val="00945780"/>
    <w:rsid w:val="009457BF"/>
    <w:rsid w:val="009465F7"/>
    <w:rsid w:val="00946731"/>
    <w:rsid w:val="009472C1"/>
    <w:rsid w:val="00950B68"/>
    <w:rsid w:val="009519A4"/>
    <w:rsid w:val="00951E39"/>
    <w:rsid w:val="0095251B"/>
    <w:rsid w:val="009526B6"/>
    <w:rsid w:val="00953A5B"/>
    <w:rsid w:val="00954209"/>
    <w:rsid w:val="0095534C"/>
    <w:rsid w:val="0095575D"/>
    <w:rsid w:val="00956458"/>
    <w:rsid w:val="0096099C"/>
    <w:rsid w:val="00961E16"/>
    <w:rsid w:val="009637C8"/>
    <w:rsid w:val="00963906"/>
    <w:rsid w:val="00963CCB"/>
    <w:rsid w:val="00964B6B"/>
    <w:rsid w:val="00964D7E"/>
    <w:rsid w:val="0096668B"/>
    <w:rsid w:val="00967091"/>
    <w:rsid w:val="00970A60"/>
    <w:rsid w:val="00970FBC"/>
    <w:rsid w:val="00972397"/>
    <w:rsid w:val="0097499E"/>
    <w:rsid w:val="00974B66"/>
    <w:rsid w:val="00974E91"/>
    <w:rsid w:val="00974FEB"/>
    <w:rsid w:val="00975B98"/>
    <w:rsid w:val="00976BC5"/>
    <w:rsid w:val="00977540"/>
    <w:rsid w:val="00977B42"/>
    <w:rsid w:val="0098054E"/>
    <w:rsid w:val="009811E8"/>
    <w:rsid w:val="00983087"/>
    <w:rsid w:val="009830F5"/>
    <w:rsid w:val="00985226"/>
    <w:rsid w:val="009853FB"/>
    <w:rsid w:val="00985F27"/>
    <w:rsid w:val="009871BE"/>
    <w:rsid w:val="0099091D"/>
    <w:rsid w:val="0099166E"/>
    <w:rsid w:val="00992C61"/>
    <w:rsid w:val="009935E9"/>
    <w:rsid w:val="00996EFE"/>
    <w:rsid w:val="009A04D2"/>
    <w:rsid w:val="009A143A"/>
    <w:rsid w:val="009A1817"/>
    <w:rsid w:val="009A1DF9"/>
    <w:rsid w:val="009A3DC4"/>
    <w:rsid w:val="009A52B3"/>
    <w:rsid w:val="009A5D2D"/>
    <w:rsid w:val="009A6FAA"/>
    <w:rsid w:val="009A7225"/>
    <w:rsid w:val="009B1918"/>
    <w:rsid w:val="009B43A4"/>
    <w:rsid w:val="009B62F9"/>
    <w:rsid w:val="009B6F27"/>
    <w:rsid w:val="009B7B82"/>
    <w:rsid w:val="009C0619"/>
    <w:rsid w:val="009C06C7"/>
    <w:rsid w:val="009C29DD"/>
    <w:rsid w:val="009C2F85"/>
    <w:rsid w:val="009C3409"/>
    <w:rsid w:val="009C362E"/>
    <w:rsid w:val="009C443E"/>
    <w:rsid w:val="009C7D33"/>
    <w:rsid w:val="009D12C6"/>
    <w:rsid w:val="009D2299"/>
    <w:rsid w:val="009D22C5"/>
    <w:rsid w:val="009D3711"/>
    <w:rsid w:val="009D473D"/>
    <w:rsid w:val="009D5B13"/>
    <w:rsid w:val="009D6240"/>
    <w:rsid w:val="009D6C27"/>
    <w:rsid w:val="009D7B76"/>
    <w:rsid w:val="009D7F3E"/>
    <w:rsid w:val="009E16A2"/>
    <w:rsid w:val="009E17D0"/>
    <w:rsid w:val="009E1F40"/>
    <w:rsid w:val="009E3C31"/>
    <w:rsid w:val="009E5634"/>
    <w:rsid w:val="009E5CAC"/>
    <w:rsid w:val="009F0453"/>
    <w:rsid w:val="009F15EB"/>
    <w:rsid w:val="009F1D72"/>
    <w:rsid w:val="009F1F87"/>
    <w:rsid w:val="009F2277"/>
    <w:rsid w:val="009F2634"/>
    <w:rsid w:val="009F2C02"/>
    <w:rsid w:val="009F4918"/>
    <w:rsid w:val="009F4E7C"/>
    <w:rsid w:val="009F7DAA"/>
    <w:rsid w:val="00A00575"/>
    <w:rsid w:val="00A00ADC"/>
    <w:rsid w:val="00A024E9"/>
    <w:rsid w:val="00A0280D"/>
    <w:rsid w:val="00A03C18"/>
    <w:rsid w:val="00A0415C"/>
    <w:rsid w:val="00A0569D"/>
    <w:rsid w:val="00A07729"/>
    <w:rsid w:val="00A12A61"/>
    <w:rsid w:val="00A138F2"/>
    <w:rsid w:val="00A15EDC"/>
    <w:rsid w:val="00A163CB"/>
    <w:rsid w:val="00A16406"/>
    <w:rsid w:val="00A16F57"/>
    <w:rsid w:val="00A20F79"/>
    <w:rsid w:val="00A22816"/>
    <w:rsid w:val="00A310B2"/>
    <w:rsid w:val="00A31814"/>
    <w:rsid w:val="00A33341"/>
    <w:rsid w:val="00A346C7"/>
    <w:rsid w:val="00A348B8"/>
    <w:rsid w:val="00A353EE"/>
    <w:rsid w:val="00A35894"/>
    <w:rsid w:val="00A36CDA"/>
    <w:rsid w:val="00A42A78"/>
    <w:rsid w:val="00A43A77"/>
    <w:rsid w:val="00A44E94"/>
    <w:rsid w:val="00A50B1B"/>
    <w:rsid w:val="00A512C5"/>
    <w:rsid w:val="00A53987"/>
    <w:rsid w:val="00A55A5A"/>
    <w:rsid w:val="00A57D6C"/>
    <w:rsid w:val="00A57F50"/>
    <w:rsid w:val="00A57F80"/>
    <w:rsid w:val="00A6486A"/>
    <w:rsid w:val="00A64A2C"/>
    <w:rsid w:val="00A64F97"/>
    <w:rsid w:val="00A65263"/>
    <w:rsid w:val="00A6578F"/>
    <w:rsid w:val="00A70266"/>
    <w:rsid w:val="00A71482"/>
    <w:rsid w:val="00A71C19"/>
    <w:rsid w:val="00A72A5E"/>
    <w:rsid w:val="00A73170"/>
    <w:rsid w:val="00A731FA"/>
    <w:rsid w:val="00A744FA"/>
    <w:rsid w:val="00A751C2"/>
    <w:rsid w:val="00A76122"/>
    <w:rsid w:val="00A777C4"/>
    <w:rsid w:val="00A8184F"/>
    <w:rsid w:val="00A81E32"/>
    <w:rsid w:val="00A82257"/>
    <w:rsid w:val="00A901EB"/>
    <w:rsid w:val="00A91481"/>
    <w:rsid w:val="00A952D6"/>
    <w:rsid w:val="00A95F92"/>
    <w:rsid w:val="00A9636C"/>
    <w:rsid w:val="00AA0703"/>
    <w:rsid w:val="00AA20D9"/>
    <w:rsid w:val="00AA3307"/>
    <w:rsid w:val="00AA378C"/>
    <w:rsid w:val="00AA4225"/>
    <w:rsid w:val="00AA7D18"/>
    <w:rsid w:val="00AB3635"/>
    <w:rsid w:val="00AB52BB"/>
    <w:rsid w:val="00AB5DED"/>
    <w:rsid w:val="00AB63AC"/>
    <w:rsid w:val="00AB7E57"/>
    <w:rsid w:val="00AC0D2B"/>
    <w:rsid w:val="00AC2AB6"/>
    <w:rsid w:val="00AC2CC2"/>
    <w:rsid w:val="00AC38AD"/>
    <w:rsid w:val="00AC797D"/>
    <w:rsid w:val="00AD256A"/>
    <w:rsid w:val="00AD43A5"/>
    <w:rsid w:val="00AD479D"/>
    <w:rsid w:val="00AD5080"/>
    <w:rsid w:val="00AD5184"/>
    <w:rsid w:val="00AE0179"/>
    <w:rsid w:val="00AE0490"/>
    <w:rsid w:val="00AE087E"/>
    <w:rsid w:val="00AE2CFC"/>
    <w:rsid w:val="00AE373C"/>
    <w:rsid w:val="00AE386D"/>
    <w:rsid w:val="00AE4F1B"/>
    <w:rsid w:val="00AE5165"/>
    <w:rsid w:val="00AE5B8B"/>
    <w:rsid w:val="00AE6848"/>
    <w:rsid w:val="00AE7801"/>
    <w:rsid w:val="00AF161A"/>
    <w:rsid w:val="00AF5624"/>
    <w:rsid w:val="00AF616C"/>
    <w:rsid w:val="00AF6D16"/>
    <w:rsid w:val="00AF6E0E"/>
    <w:rsid w:val="00AF70D4"/>
    <w:rsid w:val="00B02A08"/>
    <w:rsid w:val="00B04392"/>
    <w:rsid w:val="00B04653"/>
    <w:rsid w:val="00B06D1A"/>
    <w:rsid w:val="00B10016"/>
    <w:rsid w:val="00B10AEF"/>
    <w:rsid w:val="00B10E4B"/>
    <w:rsid w:val="00B11FAC"/>
    <w:rsid w:val="00B14778"/>
    <w:rsid w:val="00B14BC1"/>
    <w:rsid w:val="00B153D9"/>
    <w:rsid w:val="00B154BB"/>
    <w:rsid w:val="00B16890"/>
    <w:rsid w:val="00B17184"/>
    <w:rsid w:val="00B179B3"/>
    <w:rsid w:val="00B2028B"/>
    <w:rsid w:val="00B20DAB"/>
    <w:rsid w:val="00B23752"/>
    <w:rsid w:val="00B24135"/>
    <w:rsid w:val="00B259F0"/>
    <w:rsid w:val="00B26F48"/>
    <w:rsid w:val="00B30F3D"/>
    <w:rsid w:val="00B31A58"/>
    <w:rsid w:val="00B336AE"/>
    <w:rsid w:val="00B33E88"/>
    <w:rsid w:val="00B3719A"/>
    <w:rsid w:val="00B37876"/>
    <w:rsid w:val="00B37B05"/>
    <w:rsid w:val="00B42F70"/>
    <w:rsid w:val="00B4513D"/>
    <w:rsid w:val="00B50EC7"/>
    <w:rsid w:val="00B515B9"/>
    <w:rsid w:val="00B534CD"/>
    <w:rsid w:val="00B5350A"/>
    <w:rsid w:val="00B5465A"/>
    <w:rsid w:val="00B5526E"/>
    <w:rsid w:val="00B578EA"/>
    <w:rsid w:val="00B60E92"/>
    <w:rsid w:val="00B614AE"/>
    <w:rsid w:val="00B63DDF"/>
    <w:rsid w:val="00B66FA4"/>
    <w:rsid w:val="00B71BE4"/>
    <w:rsid w:val="00B73429"/>
    <w:rsid w:val="00B751A5"/>
    <w:rsid w:val="00B752B3"/>
    <w:rsid w:val="00B7629E"/>
    <w:rsid w:val="00B76424"/>
    <w:rsid w:val="00B77146"/>
    <w:rsid w:val="00B806B3"/>
    <w:rsid w:val="00B81D1D"/>
    <w:rsid w:val="00B83538"/>
    <w:rsid w:val="00B846DB"/>
    <w:rsid w:val="00B87F2F"/>
    <w:rsid w:val="00B9093C"/>
    <w:rsid w:val="00B93860"/>
    <w:rsid w:val="00B94CF9"/>
    <w:rsid w:val="00B96114"/>
    <w:rsid w:val="00B96DD7"/>
    <w:rsid w:val="00BA18D2"/>
    <w:rsid w:val="00BA4206"/>
    <w:rsid w:val="00BA4446"/>
    <w:rsid w:val="00BA4BFB"/>
    <w:rsid w:val="00BA58B6"/>
    <w:rsid w:val="00BA7631"/>
    <w:rsid w:val="00BA7E3D"/>
    <w:rsid w:val="00BB03BB"/>
    <w:rsid w:val="00BB0E5B"/>
    <w:rsid w:val="00BB2D3F"/>
    <w:rsid w:val="00BB2E10"/>
    <w:rsid w:val="00BB532B"/>
    <w:rsid w:val="00BB6500"/>
    <w:rsid w:val="00BC045B"/>
    <w:rsid w:val="00BC2117"/>
    <w:rsid w:val="00BC3242"/>
    <w:rsid w:val="00BC5234"/>
    <w:rsid w:val="00BC5951"/>
    <w:rsid w:val="00BC7897"/>
    <w:rsid w:val="00BD0C09"/>
    <w:rsid w:val="00BD1FBF"/>
    <w:rsid w:val="00BD4D8D"/>
    <w:rsid w:val="00BD5203"/>
    <w:rsid w:val="00BD5A6A"/>
    <w:rsid w:val="00BD5DB9"/>
    <w:rsid w:val="00BD739B"/>
    <w:rsid w:val="00BD76AC"/>
    <w:rsid w:val="00BE2A55"/>
    <w:rsid w:val="00BF06C9"/>
    <w:rsid w:val="00BF1C18"/>
    <w:rsid w:val="00BF51C4"/>
    <w:rsid w:val="00BF622B"/>
    <w:rsid w:val="00BF77AF"/>
    <w:rsid w:val="00C01BB8"/>
    <w:rsid w:val="00C01F96"/>
    <w:rsid w:val="00C03325"/>
    <w:rsid w:val="00C03ACB"/>
    <w:rsid w:val="00C11345"/>
    <w:rsid w:val="00C1225F"/>
    <w:rsid w:val="00C12A27"/>
    <w:rsid w:val="00C14317"/>
    <w:rsid w:val="00C14F64"/>
    <w:rsid w:val="00C16A06"/>
    <w:rsid w:val="00C21D84"/>
    <w:rsid w:val="00C2225B"/>
    <w:rsid w:val="00C2264B"/>
    <w:rsid w:val="00C243AB"/>
    <w:rsid w:val="00C256F4"/>
    <w:rsid w:val="00C27716"/>
    <w:rsid w:val="00C2773E"/>
    <w:rsid w:val="00C31276"/>
    <w:rsid w:val="00C3149D"/>
    <w:rsid w:val="00C40573"/>
    <w:rsid w:val="00C40D42"/>
    <w:rsid w:val="00C41656"/>
    <w:rsid w:val="00C422A5"/>
    <w:rsid w:val="00C47928"/>
    <w:rsid w:val="00C51847"/>
    <w:rsid w:val="00C60FCE"/>
    <w:rsid w:val="00C61D4E"/>
    <w:rsid w:val="00C62A9C"/>
    <w:rsid w:val="00C63529"/>
    <w:rsid w:val="00C64665"/>
    <w:rsid w:val="00C64D0E"/>
    <w:rsid w:val="00C67AB7"/>
    <w:rsid w:val="00C67E3E"/>
    <w:rsid w:val="00C70445"/>
    <w:rsid w:val="00C7051A"/>
    <w:rsid w:val="00C71A9D"/>
    <w:rsid w:val="00C72F9B"/>
    <w:rsid w:val="00C73507"/>
    <w:rsid w:val="00C753E8"/>
    <w:rsid w:val="00C75B3E"/>
    <w:rsid w:val="00C75C2E"/>
    <w:rsid w:val="00C76A11"/>
    <w:rsid w:val="00C85DB4"/>
    <w:rsid w:val="00C9020B"/>
    <w:rsid w:val="00C90B47"/>
    <w:rsid w:val="00C92033"/>
    <w:rsid w:val="00C920A8"/>
    <w:rsid w:val="00C95D2B"/>
    <w:rsid w:val="00C97C1A"/>
    <w:rsid w:val="00C97F2F"/>
    <w:rsid w:val="00CA1BB0"/>
    <w:rsid w:val="00CA437C"/>
    <w:rsid w:val="00CA53FE"/>
    <w:rsid w:val="00CA63D3"/>
    <w:rsid w:val="00CA6587"/>
    <w:rsid w:val="00CB2F2F"/>
    <w:rsid w:val="00CB448A"/>
    <w:rsid w:val="00CB465B"/>
    <w:rsid w:val="00CB63E8"/>
    <w:rsid w:val="00CB7C22"/>
    <w:rsid w:val="00CC137B"/>
    <w:rsid w:val="00CC2BAA"/>
    <w:rsid w:val="00CC3E73"/>
    <w:rsid w:val="00CC5C78"/>
    <w:rsid w:val="00CC7DF4"/>
    <w:rsid w:val="00CD1D26"/>
    <w:rsid w:val="00CD285B"/>
    <w:rsid w:val="00CD524E"/>
    <w:rsid w:val="00CD5D01"/>
    <w:rsid w:val="00CD62FB"/>
    <w:rsid w:val="00CD7AAF"/>
    <w:rsid w:val="00CE3BD5"/>
    <w:rsid w:val="00CE3C65"/>
    <w:rsid w:val="00CE4244"/>
    <w:rsid w:val="00CE4316"/>
    <w:rsid w:val="00CF371B"/>
    <w:rsid w:val="00D02172"/>
    <w:rsid w:val="00D02B05"/>
    <w:rsid w:val="00D0486F"/>
    <w:rsid w:val="00D04A98"/>
    <w:rsid w:val="00D04C01"/>
    <w:rsid w:val="00D070A8"/>
    <w:rsid w:val="00D1398F"/>
    <w:rsid w:val="00D17994"/>
    <w:rsid w:val="00D17F7C"/>
    <w:rsid w:val="00D207E0"/>
    <w:rsid w:val="00D21094"/>
    <w:rsid w:val="00D216CB"/>
    <w:rsid w:val="00D24268"/>
    <w:rsid w:val="00D30014"/>
    <w:rsid w:val="00D30031"/>
    <w:rsid w:val="00D30A1D"/>
    <w:rsid w:val="00D30E9D"/>
    <w:rsid w:val="00D320EF"/>
    <w:rsid w:val="00D324DE"/>
    <w:rsid w:val="00D33102"/>
    <w:rsid w:val="00D33BF8"/>
    <w:rsid w:val="00D34C3E"/>
    <w:rsid w:val="00D36DD4"/>
    <w:rsid w:val="00D4191F"/>
    <w:rsid w:val="00D41E4E"/>
    <w:rsid w:val="00D44A6B"/>
    <w:rsid w:val="00D45D70"/>
    <w:rsid w:val="00D46E12"/>
    <w:rsid w:val="00D46F1C"/>
    <w:rsid w:val="00D47458"/>
    <w:rsid w:val="00D51057"/>
    <w:rsid w:val="00D51C8A"/>
    <w:rsid w:val="00D51D21"/>
    <w:rsid w:val="00D5402B"/>
    <w:rsid w:val="00D5632C"/>
    <w:rsid w:val="00D5642F"/>
    <w:rsid w:val="00D61635"/>
    <w:rsid w:val="00D64577"/>
    <w:rsid w:val="00D65099"/>
    <w:rsid w:val="00D66732"/>
    <w:rsid w:val="00D67EA3"/>
    <w:rsid w:val="00D7095B"/>
    <w:rsid w:val="00D7143C"/>
    <w:rsid w:val="00D750F2"/>
    <w:rsid w:val="00D80B59"/>
    <w:rsid w:val="00D8179E"/>
    <w:rsid w:val="00D83BB7"/>
    <w:rsid w:val="00D848BD"/>
    <w:rsid w:val="00D87328"/>
    <w:rsid w:val="00D87BAE"/>
    <w:rsid w:val="00D90616"/>
    <w:rsid w:val="00D92DCE"/>
    <w:rsid w:val="00D92FB1"/>
    <w:rsid w:val="00D96430"/>
    <w:rsid w:val="00DA11C4"/>
    <w:rsid w:val="00DA1B61"/>
    <w:rsid w:val="00DA4894"/>
    <w:rsid w:val="00DA4BF2"/>
    <w:rsid w:val="00DA53BD"/>
    <w:rsid w:val="00DA5AA3"/>
    <w:rsid w:val="00DA5C68"/>
    <w:rsid w:val="00DA65C9"/>
    <w:rsid w:val="00DB0800"/>
    <w:rsid w:val="00DB255E"/>
    <w:rsid w:val="00DB35F8"/>
    <w:rsid w:val="00DB4A3B"/>
    <w:rsid w:val="00DB5BD8"/>
    <w:rsid w:val="00DB63EA"/>
    <w:rsid w:val="00DB64C8"/>
    <w:rsid w:val="00DB7811"/>
    <w:rsid w:val="00DB7CF8"/>
    <w:rsid w:val="00DC6C29"/>
    <w:rsid w:val="00DC72A6"/>
    <w:rsid w:val="00DC7FE6"/>
    <w:rsid w:val="00DD0121"/>
    <w:rsid w:val="00DD205E"/>
    <w:rsid w:val="00DD4C85"/>
    <w:rsid w:val="00DD5915"/>
    <w:rsid w:val="00DE0940"/>
    <w:rsid w:val="00DE0CDE"/>
    <w:rsid w:val="00DE1B35"/>
    <w:rsid w:val="00DE234B"/>
    <w:rsid w:val="00DE4064"/>
    <w:rsid w:val="00DE51BF"/>
    <w:rsid w:val="00DE56C7"/>
    <w:rsid w:val="00DE6D31"/>
    <w:rsid w:val="00DE7A02"/>
    <w:rsid w:val="00DE7A50"/>
    <w:rsid w:val="00DF0BFC"/>
    <w:rsid w:val="00DF1631"/>
    <w:rsid w:val="00DF4FBF"/>
    <w:rsid w:val="00DF5F2E"/>
    <w:rsid w:val="00E00EC2"/>
    <w:rsid w:val="00E0127D"/>
    <w:rsid w:val="00E01368"/>
    <w:rsid w:val="00E05C52"/>
    <w:rsid w:val="00E07FD6"/>
    <w:rsid w:val="00E1022E"/>
    <w:rsid w:val="00E1258E"/>
    <w:rsid w:val="00E12AA1"/>
    <w:rsid w:val="00E16852"/>
    <w:rsid w:val="00E22398"/>
    <w:rsid w:val="00E2254D"/>
    <w:rsid w:val="00E26A03"/>
    <w:rsid w:val="00E32648"/>
    <w:rsid w:val="00E346F1"/>
    <w:rsid w:val="00E35939"/>
    <w:rsid w:val="00E3644C"/>
    <w:rsid w:val="00E364B7"/>
    <w:rsid w:val="00E405F4"/>
    <w:rsid w:val="00E41E8A"/>
    <w:rsid w:val="00E42489"/>
    <w:rsid w:val="00E425CA"/>
    <w:rsid w:val="00E43711"/>
    <w:rsid w:val="00E4379D"/>
    <w:rsid w:val="00E43881"/>
    <w:rsid w:val="00E4486D"/>
    <w:rsid w:val="00E5048E"/>
    <w:rsid w:val="00E50D0D"/>
    <w:rsid w:val="00E5385B"/>
    <w:rsid w:val="00E55EFA"/>
    <w:rsid w:val="00E5603D"/>
    <w:rsid w:val="00E5772A"/>
    <w:rsid w:val="00E57920"/>
    <w:rsid w:val="00E616C5"/>
    <w:rsid w:val="00E61CC1"/>
    <w:rsid w:val="00E62876"/>
    <w:rsid w:val="00E6407E"/>
    <w:rsid w:val="00E70740"/>
    <w:rsid w:val="00E726D6"/>
    <w:rsid w:val="00E72F90"/>
    <w:rsid w:val="00E74B2B"/>
    <w:rsid w:val="00E7741B"/>
    <w:rsid w:val="00E778FD"/>
    <w:rsid w:val="00E80C05"/>
    <w:rsid w:val="00E81483"/>
    <w:rsid w:val="00E83000"/>
    <w:rsid w:val="00E8399E"/>
    <w:rsid w:val="00E86271"/>
    <w:rsid w:val="00E865C0"/>
    <w:rsid w:val="00E869DA"/>
    <w:rsid w:val="00E96854"/>
    <w:rsid w:val="00EA0444"/>
    <w:rsid w:val="00EA08B8"/>
    <w:rsid w:val="00EA3670"/>
    <w:rsid w:val="00EA4168"/>
    <w:rsid w:val="00EA54E2"/>
    <w:rsid w:val="00EB0248"/>
    <w:rsid w:val="00EB1257"/>
    <w:rsid w:val="00EB35E5"/>
    <w:rsid w:val="00EB3D2C"/>
    <w:rsid w:val="00EB4F31"/>
    <w:rsid w:val="00EB53F3"/>
    <w:rsid w:val="00EB7BBE"/>
    <w:rsid w:val="00EC11D7"/>
    <w:rsid w:val="00EC5C6F"/>
    <w:rsid w:val="00EC7506"/>
    <w:rsid w:val="00ED02CC"/>
    <w:rsid w:val="00ED0978"/>
    <w:rsid w:val="00ED15D2"/>
    <w:rsid w:val="00ED28A7"/>
    <w:rsid w:val="00ED619A"/>
    <w:rsid w:val="00EE022E"/>
    <w:rsid w:val="00EE0D1D"/>
    <w:rsid w:val="00EE14A7"/>
    <w:rsid w:val="00EE3154"/>
    <w:rsid w:val="00EF059E"/>
    <w:rsid w:val="00EF1C90"/>
    <w:rsid w:val="00EF2772"/>
    <w:rsid w:val="00EF317F"/>
    <w:rsid w:val="00EF4A67"/>
    <w:rsid w:val="00EF5FB3"/>
    <w:rsid w:val="00EF69B6"/>
    <w:rsid w:val="00EF6A9C"/>
    <w:rsid w:val="00EF6E42"/>
    <w:rsid w:val="00EF7A4B"/>
    <w:rsid w:val="00EF7E40"/>
    <w:rsid w:val="00F03B3B"/>
    <w:rsid w:val="00F072E1"/>
    <w:rsid w:val="00F10159"/>
    <w:rsid w:val="00F11721"/>
    <w:rsid w:val="00F11D40"/>
    <w:rsid w:val="00F12036"/>
    <w:rsid w:val="00F1216C"/>
    <w:rsid w:val="00F164D6"/>
    <w:rsid w:val="00F17075"/>
    <w:rsid w:val="00F24C7F"/>
    <w:rsid w:val="00F2522D"/>
    <w:rsid w:val="00F26BB2"/>
    <w:rsid w:val="00F27BAB"/>
    <w:rsid w:val="00F27D4A"/>
    <w:rsid w:val="00F31121"/>
    <w:rsid w:val="00F32143"/>
    <w:rsid w:val="00F329AD"/>
    <w:rsid w:val="00F3677B"/>
    <w:rsid w:val="00F44E35"/>
    <w:rsid w:val="00F44F9B"/>
    <w:rsid w:val="00F4639A"/>
    <w:rsid w:val="00F54EB2"/>
    <w:rsid w:val="00F55116"/>
    <w:rsid w:val="00F57032"/>
    <w:rsid w:val="00F57815"/>
    <w:rsid w:val="00F57A15"/>
    <w:rsid w:val="00F57D18"/>
    <w:rsid w:val="00F61E43"/>
    <w:rsid w:val="00F625C2"/>
    <w:rsid w:val="00F65293"/>
    <w:rsid w:val="00F6552D"/>
    <w:rsid w:val="00F70257"/>
    <w:rsid w:val="00F71BF8"/>
    <w:rsid w:val="00F72704"/>
    <w:rsid w:val="00F74F71"/>
    <w:rsid w:val="00F7576A"/>
    <w:rsid w:val="00F76BDC"/>
    <w:rsid w:val="00F77149"/>
    <w:rsid w:val="00F8032A"/>
    <w:rsid w:val="00F848EB"/>
    <w:rsid w:val="00F909FA"/>
    <w:rsid w:val="00F90BDE"/>
    <w:rsid w:val="00F9200E"/>
    <w:rsid w:val="00F93905"/>
    <w:rsid w:val="00F940AD"/>
    <w:rsid w:val="00F94606"/>
    <w:rsid w:val="00F9466A"/>
    <w:rsid w:val="00F9521D"/>
    <w:rsid w:val="00F97C26"/>
    <w:rsid w:val="00FA206E"/>
    <w:rsid w:val="00FA3239"/>
    <w:rsid w:val="00FA34F3"/>
    <w:rsid w:val="00FA4381"/>
    <w:rsid w:val="00FA57A5"/>
    <w:rsid w:val="00FA7A58"/>
    <w:rsid w:val="00FB15E0"/>
    <w:rsid w:val="00FB1CFE"/>
    <w:rsid w:val="00FB23EC"/>
    <w:rsid w:val="00FB703C"/>
    <w:rsid w:val="00FB7823"/>
    <w:rsid w:val="00FC0B21"/>
    <w:rsid w:val="00FC3924"/>
    <w:rsid w:val="00FC525E"/>
    <w:rsid w:val="00FC5DCF"/>
    <w:rsid w:val="00FD08FC"/>
    <w:rsid w:val="00FD1072"/>
    <w:rsid w:val="00FD1A81"/>
    <w:rsid w:val="00FD3244"/>
    <w:rsid w:val="00FD457E"/>
    <w:rsid w:val="00FD5D3B"/>
    <w:rsid w:val="00FD61E5"/>
    <w:rsid w:val="00FD7405"/>
    <w:rsid w:val="00FE035A"/>
    <w:rsid w:val="00FE0533"/>
    <w:rsid w:val="00FE2802"/>
    <w:rsid w:val="00FE42AA"/>
    <w:rsid w:val="00FE5C26"/>
    <w:rsid w:val="00FE7035"/>
    <w:rsid w:val="00FE7BDE"/>
    <w:rsid w:val="00FF10AA"/>
    <w:rsid w:val="00FF2935"/>
    <w:rsid w:val="00FF3007"/>
    <w:rsid w:val="00FF372D"/>
    <w:rsid w:val="00FF6229"/>
    <w:rsid w:val="00FF6404"/>
    <w:rsid w:val="27FFDA49"/>
    <w:rsid w:val="35F1AC51"/>
    <w:rsid w:val="6EB75246"/>
    <w:rsid w:val="7CA6F2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BA9E21-C36F-4732-9B2A-941FD6068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nhideWhenUsed="1" w:qFormat="1"/>
    <w:lsdException w:name="line number" w:semiHidden="1" w:unhideWhenUsed="1"/>
    <w:lsdException w:name="page number" w:uiPriority="0" w:qFormat="1"/>
    <w:lsdException w:name="endnote reference" w:uiPriority="0" w:qFormat="1"/>
    <w:lsdException w:name="endnote text" w:uiPriority="0" w:qFormat="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uiPriority="0" w:qFormat="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0" w:qFormat="1"/>
    <w:lsdException w:name="Date" w:uiPriority="0" w:unhideWhenUsed="1"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unhideWhenUsed="1"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rFonts w:ascii="Calibri" w:hAnsi="Calibri"/>
      <w:kern w:val="2"/>
      <w:sz w:val="21"/>
      <w:szCs w:val="22"/>
    </w:rPr>
  </w:style>
  <w:style w:type="paragraph" w:styleId="1">
    <w:name w:val="heading 1"/>
    <w:basedOn w:val="a1"/>
    <w:next w:val="a1"/>
    <w:link w:val="1Char"/>
    <w:qFormat/>
    <w:pPr>
      <w:keepNext/>
      <w:keepLines/>
      <w:tabs>
        <w:tab w:val="left" w:pos="425"/>
      </w:tabs>
      <w:spacing w:before="340" w:after="330" w:line="578" w:lineRule="auto"/>
      <w:ind w:left="425" w:hanging="425"/>
      <w:outlineLvl w:val="0"/>
    </w:pPr>
    <w:rPr>
      <w:rFonts w:ascii="Times New Roman" w:hAnsi="Times New Roman"/>
      <w:b/>
      <w:bCs/>
      <w:kern w:val="44"/>
      <w:sz w:val="44"/>
      <w:szCs w:val="44"/>
    </w:rPr>
  </w:style>
  <w:style w:type="paragraph" w:styleId="2">
    <w:name w:val="heading 2"/>
    <w:basedOn w:val="a1"/>
    <w:next w:val="a1"/>
    <w:link w:val="2Char"/>
    <w:uiPriority w:val="9"/>
    <w:qFormat/>
    <w:pPr>
      <w:keepNext/>
      <w:keepLines/>
      <w:tabs>
        <w:tab w:val="left" w:pos="567"/>
      </w:tabs>
      <w:spacing w:before="260" w:after="260" w:line="416" w:lineRule="auto"/>
      <w:ind w:left="567" w:hanging="567"/>
      <w:outlineLvl w:val="1"/>
    </w:pPr>
    <w:rPr>
      <w:rFonts w:ascii="Arial" w:eastAsia="黑体" w:hAnsi="Arial"/>
      <w:b/>
      <w:bCs/>
      <w:sz w:val="32"/>
      <w:szCs w:val="32"/>
    </w:rPr>
  </w:style>
  <w:style w:type="paragraph" w:styleId="30">
    <w:name w:val="heading 3"/>
    <w:basedOn w:val="a1"/>
    <w:next w:val="a1"/>
    <w:link w:val="3Char"/>
    <w:uiPriority w:val="9"/>
    <w:qFormat/>
    <w:pPr>
      <w:keepNext/>
      <w:keepLines/>
      <w:tabs>
        <w:tab w:val="left" w:pos="709"/>
      </w:tabs>
      <w:spacing w:before="260" w:after="260" w:line="416" w:lineRule="auto"/>
      <w:ind w:left="709" w:hanging="709"/>
      <w:outlineLvl w:val="2"/>
    </w:pPr>
    <w:rPr>
      <w:rFonts w:ascii="Times New Roman" w:hAnsi="Times New Roman"/>
      <w:b/>
      <w:bCs/>
      <w:sz w:val="32"/>
      <w:szCs w:val="32"/>
    </w:rPr>
  </w:style>
  <w:style w:type="paragraph" w:styleId="4">
    <w:name w:val="heading 4"/>
    <w:basedOn w:val="a1"/>
    <w:next w:val="a1"/>
    <w:link w:val="4Char"/>
    <w:qFormat/>
    <w:pPr>
      <w:keepNext/>
      <w:keepLines/>
      <w:tabs>
        <w:tab w:val="left" w:pos="851"/>
      </w:tabs>
      <w:spacing w:before="280" w:after="290" w:line="376" w:lineRule="auto"/>
      <w:ind w:left="851" w:hanging="851"/>
      <w:outlineLvl w:val="3"/>
    </w:pPr>
    <w:rPr>
      <w:rFonts w:ascii="Arial" w:eastAsia="黑体" w:hAnsi="Arial"/>
      <w:b/>
      <w:bCs/>
      <w:sz w:val="28"/>
      <w:szCs w:val="28"/>
    </w:rPr>
  </w:style>
  <w:style w:type="paragraph" w:styleId="5">
    <w:name w:val="heading 5"/>
    <w:basedOn w:val="a1"/>
    <w:next w:val="a1"/>
    <w:link w:val="5Char"/>
    <w:qFormat/>
    <w:pPr>
      <w:keepNext/>
      <w:keepLines/>
      <w:tabs>
        <w:tab w:val="left" w:pos="992"/>
      </w:tabs>
      <w:spacing w:before="280" w:after="290" w:line="376" w:lineRule="auto"/>
      <w:ind w:left="992" w:hanging="992"/>
      <w:outlineLvl w:val="4"/>
    </w:pPr>
    <w:rPr>
      <w:rFonts w:ascii="Times New Roman" w:hAnsi="Times New Roman"/>
      <w:b/>
      <w:bCs/>
      <w:sz w:val="28"/>
      <w:szCs w:val="28"/>
    </w:rPr>
  </w:style>
  <w:style w:type="paragraph" w:styleId="6">
    <w:name w:val="heading 6"/>
    <w:basedOn w:val="a1"/>
    <w:next w:val="a1"/>
    <w:link w:val="6Char"/>
    <w:qFormat/>
    <w:pPr>
      <w:keepNext/>
      <w:keepLines/>
      <w:tabs>
        <w:tab w:val="left" w:pos="1134"/>
      </w:tabs>
      <w:spacing w:before="240" w:after="64" w:line="320" w:lineRule="auto"/>
      <w:ind w:left="1134" w:hanging="1134"/>
      <w:outlineLvl w:val="5"/>
    </w:pPr>
    <w:rPr>
      <w:rFonts w:ascii="Arial" w:eastAsia="黑体" w:hAnsi="Arial"/>
      <w:b/>
      <w:bCs/>
      <w:sz w:val="24"/>
      <w:szCs w:val="24"/>
    </w:rPr>
  </w:style>
  <w:style w:type="paragraph" w:styleId="7">
    <w:name w:val="heading 7"/>
    <w:basedOn w:val="a1"/>
    <w:next w:val="a1"/>
    <w:link w:val="7Char"/>
    <w:qFormat/>
    <w:pPr>
      <w:keepNext/>
      <w:keepLines/>
      <w:tabs>
        <w:tab w:val="left" w:pos="1276"/>
      </w:tabs>
      <w:spacing w:before="240" w:after="64" w:line="320" w:lineRule="auto"/>
      <w:ind w:left="1276" w:hanging="1276"/>
      <w:outlineLvl w:val="6"/>
    </w:pPr>
    <w:rPr>
      <w:rFonts w:ascii="Times New Roman" w:hAnsi="Times New Roman"/>
      <w:b/>
      <w:bCs/>
      <w:sz w:val="24"/>
      <w:szCs w:val="24"/>
    </w:rPr>
  </w:style>
  <w:style w:type="paragraph" w:styleId="8">
    <w:name w:val="heading 8"/>
    <w:basedOn w:val="a1"/>
    <w:next w:val="a1"/>
    <w:link w:val="8Char"/>
    <w:qFormat/>
    <w:pPr>
      <w:keepNext/>
      <w:keepLines/>
      <w:tabs>
        <w:tab w:val="left" w:pos="1418"/>
      </w:tabs>
      <w:spacing w:before="240" w:after="64" w:line="320" w:lineRule="auto"/>
      <w:ind w:left="1418" w:hanging="1418"/>
      <w:outlineLvl w:val="7"/>
    </w:pPr>
    <w:rPr>
      <w:rFonts w:ascii="黑体" w:eastAsia="黑体" w:hAnsi="Arial"/>
      <w:kern w:val="24"/>
      <w:sz w:val="24"/>
      <w:szCs w:val="24"/>
    </w:rPr>
  </w:style>
  <w:style w:type="paragraph" w:styleId="9">
    <w:name w:val="heading 9"/>
    <w:basedOn w:val="a1"/>
    <w:next w:val="a2"/>
    <w:link w:val="9Char"/>
    <w:qFormat/>
    <w:pPr>
      <w:keepNext/>
      <w:keepLines/>
      <w:widowControl/>
      <w:tabs>
        <w:tab w:val="left" w:pos="1559"/>
      </w:tabs>
      <w:overflowPunct w:val="0"/>
      <w:autoSpaceDE w:val="0"/>
      <w:autoSpaceDN w:val="0"/>
      <w:adjustRightInd w:val="0"/>
      <w:spacing w:before="240" w:after="64" w:line="320" w:lineRule="auto"/>
      <w:ind w:left="1559" w:hanging="1559"/>
      <w:jc w:val="left"/>
      <w:textAlignment w:val="baseline"/>
      <w:outlineLvl w:val="8"/>
    </w:pPr>
    <w:rPr>
      <w:rFonts w:ascii="Arial" w:eastAsia="黑体" w:hAnsi="Arial"/>
      <w:kern w:val="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pPr>
      <w:ind w:firstLineChars="200" w:firstLine="420"/>
    </w:pPr>
    <w:rPr>
      <w:rFonts w:ascii="Times New Roman" w:hAnsi="Times New Roman"/>
      <w:szCs w:val="24"/>
    </w:rPr>
  </w:style>
  <w:style w:type="paragraph" w:styleId="31">
    <w:name w:val="List 3"/>
    <w:basedOn w:val="a1"/>
    <w:qFormat/>
    <w:pPr>
      <w:autoSpaceDE w:val="0"/>
      <w:autoSpaceDN w:val="0"/>
      <w:adjustRightInd w:val="0"/>
      <w:ind w:leftChars="400" w:left="100" w:hangingChars="200" w:hanging="200"/>
      <w:textAlignment w:val="baseline"/>
    </w:pPr>
    <w:rPr>
      <w:rFonts w:ascii="Times New Roman" w:hAnsi="Times New Roman"/>
      <w:kern w:val="0"/>
      <w:sz w:val="24"/>
      <w:szCs w:val="20"/>
    </w:rPr>
  </w:style>
  <w:style w:type="paragraph" w:styleId="70">
    <w:name w:val="toc 7"/>
    <w:basedOn w:val="a1"/>
    <w:next w:val="a1"/>
    <w:semiHidden/>
    <w:qFormat/>
    <w:pPr>
      <w:ind w:left="1260"/>
      <w:jc w:val="left"/>
    </w:pPr>
    <w:rPr>
      <w:rFonts w:ascii="Times New Roman" w:hAnsi="Times New Roman"/>
      <w:sz w:val="18"/>
      <w:szCs w:val="18"/>
    </w:rPr>
  </w:style>
  <w:style w:type="paragraph" w:styleId="a6">
    <w:name w:val="caption"/>
    <w:basedOn w:val="a1"/>
    <w:next w:val="a1"/>
    <w:uiPriority w:val="35"/>
    <w:qFormat/>
    <w:pPr>
      <w:jc w:val="center"/>
    </w:pPr>
    <w:rPr>
      <w:rFonts w:ascii="Times New Roman" w:hAnsi="Times New Roman"/>
      <w:b/>
      <w:i/>
      <w:iCs/>
      <w:sz w:val="30"/>
      <w:szCs w:val="20"/>
    </w:rPr>
  </w:style>
  <w:style w:type="paragraph" w:styleId="a7">
    <w:name w:val="List Bullet"/>
    <w:basedOn w:val="a1"/>
    <w:qFormat/>
    <w:pPr>
      <w:spacing w:line="360" w:lineRule="auto"/>
      <w:jc w:val="left"/>
    </w:pPr>
    <w:rPr>
      <w:rFonts w:ascii="Tahoma" w:hAnsi="Tahoma" w:cs="Tahoma"/>
      <w:sz w:val="24"/>
      <w:szCs w:val="21"/>
    </w:rPr>
  </w:style>
  <w:style w:type="paragraph" w:styleId="a8">
    <w:name w:val="Document Map"/>
    <w:basedOn w:val="a1"/>
    <w:link w:val="Char0"/>
    <w:qFormat/>
    <w:pPr>
      <w:shd w:val="clear" w:color="auto" w:fill="000080"/>
      <w:spacing w:beforeLines="50" w:afterLines="50"/>
    </w:pPr>
    <w:rPr>
      <w:rFonts w:ascii="Times New Roman" w:hAnsi="Times New Roman"/>
      <w:sz w:val="24"/>
      <w:szCs w:val="20"/>
    </w:rPr>
  </w:style>
  <w:style w:type="paragraph" w:styleId="a9">
    <w:name w:val="annotation text"/>
    <w:basedOn w:val="a1"/>
    <w:link w:val="Char1"/>
    <w:uiPriority w:val="99"/>
    <w:unhideWhenUsed/>
    <w:qFormat/>
    <w:pPr>
      <w:jc w:val="left"/>
    </w:pPr>
  </w:style>
  <w:style w:type="paragraph" w:styleId="aa">
    <w:name w:val="Salutation"/>
    <w:basedOn w:val="a1"/>
    <w:next w:val="a1"/>
    <w:link w:val="Char2"/>
    <w:qFormat/>
    <w:rPr>
      <w:rFonts w:ascii="Times New Roman" w:hAnsi="Times New Roman"/>
      <w:szCs w:val="24"/>
    </w:rPr>
  </w:style>
  <w:style w:type="paragraph" w:styleId="ab">
    <w:name w:val="Closing"/>
    <w:basedOn w:val="a1"/>
    <w:link w:val="Char3"/>
    <w:qFormat/>
    <w:pPr>
      <w:ind w:leftChars="2100" w:left="100"/>
    </w:pPr>
    <w:rPr>
      <w:rFonts w:ascii="Times New Roman" w:eastAsia="仿宋_GB2312" w:hAnsi="Times New Roman"/>
      <w:sz w:val="32"/>
      <w:szCs w:val="32"/>
    </w:rPr>
  </w:style>
  <w:style w:type="paragraph" w:styleId="ac">
    <w:name w:val="Body Text"/>
    <w:basedOn w:val="a1"/>
    <w:link w:val="Char4"/>
    <w:qFormat/>
    <w:pPr>
      <w:spacing w:after="120"/>
    </w:pPr>
    <w:rPr>
      <w:rFonts w:ascii="Times New Roman" w:hAnsi="Times New Roman"/>
      <w:szCs w:val="24"/>
    </w:rPr>
  </w:style>
  <w:style w:type="paragraph" w:styleId="ad">
    <w:name w:val="Body Text Indent"/>
    <w:basedOn w:val="a1"/>
    <w:link w:val="Char5"/>
    <w:qFormat/>
    <w:pPr>
      <w:spacing w:line="580" w:lineRule="exact"/>
      <w:ind w:firstLine="660"/>
    </w:pPr>
    <w:rPr>
      <w:rFonts w:ascii="仿宋_GB2312" w:eastAsia="仿宋_GB2312" w:hAnsi="Times New Roman"/>
      <w:sz w:val="32"/>
      <w:szCs w:val="24"/>
    </w:rPr>
  </w:style>
  <w:style w:type="paragraph" w:styleId="20">
    <w:name w:val="List 2"/>
    <w:basedOn w:val="a1"/>
    <w:qFormat/>
    <w:pPr>
      <w:autoSpaceDE w:val="0"/>
      <w:autoSpaceDN w:val="0"/>
      <w:adjustRightInd w:val="0"/>
      <w:ind w:leftChars="200" w:left="100" w:hangingChars="200" w:hanging="200"/>
      <w:textAlignment w:val="baseline"/>
    </w:pPr>
    <w:rPr>
      <w:rFonts w:ascii="Times New Roman" w:hAnsi="Times New Roman"/>
      <w:kern w:val="0"/>
      <w:sz w:val="24"/>
      <w:szCs w:val="20"/>
    </w:rPr>
  </w:style>
  <w:style w:type="paragraph" w:styleId="50">
    <w:name w:val="toc 5"/>
    <w:basedOn w:val="a1"/>
    <w:next w:val="a1"/>
    <w:semiHidden/>
    <w:qFormat/>
    <w:pPr>
      <w:ind w:left="840"/>
      <w:jc w:val="left"/>
    </w:pPr>
    <w:rPr>
      <w:rFonts w:ascii="Times New Roman" w:hAnsi="Times New Roman"/>
      <w:sz w:val="18"/>
      <w:szCs w:val="18"/>
    </w:rPr>
  </w:style>
  <w:style w:type="paragraph" w:styleId="3">
    <w:name w:val="toc 3"/>
    <w:basedOn w:val="a1"/>
    <w:next w:val="a1"/>
    <w:semiHidden/>
    <w:qFormat/>
    <w:pPr>
      <w:numPr>
        <w:numId w:val="1"/>
      </w:numPr>
      <w:tabs>
        <w:tab w:val="clear" w:pos="851"/>
        <w:tab w:val="left" w:pos="1200"/>
        <w:tab w:val="right" w:leader="dot" w:pos="8296"/>
        <w:tab w:val="right" w:leader="dot" w:pos="8777"/>
      </w:tabs>
      <w:spacing w:line="500" w:lineRule="exact"/>
      <w:ind w:left="0" w:firstLine="0"/>
    </w:pPr>
    <w:rPr>
      <w:rFonts w:ascii="Times New Roman" w:eastAsia="仿宋_GB2312" w:hAnsi="Times New Roman"/>
      <w:iCs/>
      <w:sz w:val="28"/>
      <w:szCs w:val="28"/>
    </w:rPr>
  </w:style>
  <w:style w:type="paragraph" w:styleId="ae">
    <w:name w:val="Plain Text"/>
    <w:basedOn w:val="a1"/>
    <w:link w:val="Char6"/>
    <w:qFormat/>
    <w:rPr>
      <w:rFonts w:ascii="宋体" w:hAnsi="Courier New"/>
      <w:szCs w:val="21"/>
    </w:rPr>
  </w:style>
  <w:style w:type="paragraph" w:styleId="80">
    <w:name w:val="toc 8"/>
    <w:basedOn w:val="a1"/>
    <w:next w:val="a1"/>
    <w:semiHidden/>
    <w:qFormat/>
    <w:pPr>
      <w:ind w:left="1470"/>
      <w:jc w:val="left"/>
    </w:pPr>
    <w:rPr>
      <w:rFonts w:ascii="Times New Roman" w:hAnsi="Times New Roman"/>
      <w:sz w:val="18"/>
      <w:szCs w:val="18"/>
    </w:rPr>
  </w:style>
  <w:style w:type="paragraph" w:styleId="af">
    <w:name w:val="Date"/>
    <w:basedOn w:val="a1"/>
    <w:next w:val="a1"/>
    <w:link w:val="Char7"/>
    <w:unhideWhenUsed/>
    <w:qFormat/>
    <w:pPr>
      <w:ind w:leftChars="2500" w:left="100"/>
    </w:pPr>
  </w:style>
  <w:style w:type="paragraph" w:styleId="21">
    <w:name w:val="Body Text Indent 2"/>
    <w:basedOn w:val="a1"/>
    <w:link w:val="2Char0"/>
    <w:qFormat/>
    <w:pPr>
      <w:spacing w:line="500" w:lineRule="exact"/>
      <w:ind w:firstLineChars="200" w:firstLine="640"/>
    </w:pPr>
    <w:rPr>
      <w:rFonts w:ascii="仿宋_GB2312" w:eastAsia="仿宋_GB2312" w:hAnsi="宋体"/>
      <w:sz w:val="32"/>
      <w:szCs w:val="24"/>
    </w:rPr>
  </w:style>
  <w:style w:type="paragraph" w:styleId="af0">
    <w:name w:val="endnote text"/>
    <w:basedOn w:val="a1"/>
    <w:link w:val="Char8"/>
    <w:qFormat/>
    <w:pPr>
      <w:snapToGrid w:val="0"/>
      <w:jc w:val="left"/>
    </w:pPr>
    <w:rPr>
      <w:rFonts w:ascii="Times New Roman" w:hAnsi="Times New Roman"/>
      <w:szCs w:val="24"/>
    </w:rPr>
  </w:style>
  <w:style w:type="paragraph" w:styleId="af1">
    <w:name w:val="Balloon Text"/>
    <w:basedOn w:val="a1"/>
    <w:link w:val="Char9"/>
    <w:uiPriority w:val="99"/>
    <w:unhideWhenUsed/>
    <w:qFormat/>
    <w:rPr>
      <w:sz w:val="18"/>
      <w:szCs w:val="18"/>
    </w:rPr>
  </w:style>
  <w:style w:type="paragraph" w:styleId="af2">
    <w:name w:val="footer"/>
    <w:basedOn w:val="a1"/>
    <w:link w:val="Chara"/>
    <w:uiPriority w:val="99"/>
    <w:unhideWhenUsed/>
    <w:qFormat/>
    <w:pPr>
      <w:tabs>
        <w:tab w:val="center" w:pos="4153"/>
        <w:tab w:val="right" w:pos="8306"/>
      </w:tabs>
      <w:snapToGrid w:val="0"/>
      <w:jc w:val="left"/>
    </w:pPr>
    <w:rPr>
      <w:sz w:val="18"/>
      <w:szCs w:val="18"/>
    </w:rPr>
  </w:style>
  <w:style w:type="paragraph" w:styleId="af3">
    <w:name w:val="header"/>
    <w:basedOn w:val="a1"/>
    <w:link w:val="Charb"/>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1"/>
    <w:next w:val="a1"/>
    <w:semiHidden/>
    <w:qFormat/>
    <w:pPr>
      <w:tabs>
        <w:tab w:val="right" w:leader="dot" w:pos="8302"/>
      </w:tabs>
      <w:spacing w:line="500" w:lineRule="exact"/>
      <w:jc w:val="center"/>
    </w:pPr>
    <w:rPr>
      <w:rFonts w:ascii="宋体" w:hAnsi="宋体"/>
      <w:b/>
      <w:bCs/>
      <w:caps/>
      <w:sz w:val="44"/>
      <w:szCs w:val="44"/>
    </w:rPr>
  </w:style>
  <w:style w:type="paragraph" w:styleId="40">
    <w:name w:val="toc 4"/>
    <w:basedOn w:val="a1"/>
    <w:next w:val="a1"/>
    <w:semiHidden/>
    <w:qFormat/>
    <w:pPr>
      <w:ind w:left="630"/>
      <w:jc w:val="left"/>
    </w:pPr>
    <w:rPr>
      <w:rFonts w:ascii="Times New Roman" w:hAnsi="Times New Roman"/>
      <w:sz w:val="18"/>
      <w:szCs w:val="18"/>
    </w:rPr>
  </w:style>
  <w:style w:type="paragraph" w:styleId="af4">
    <w:name w:val="Subtitle"/>
    <w:basedOn w:val="a1"/>
    <w:next w:val="a1"/>
    <w:link w:val="Charc"/>
    <w:uiPriority w:val="11"/>
    <w:qFormat/>
    <w:pPr>
      <w:spacing w:before="240" w:after="60" w:line="312" w:lineRule="auto"/>
      <w:jc w:val="center"/>
      <w:outlineLvl w:val="1"/>
    </w:pPr>
    <w:rPr>
      <w:rFonts w:ascii="Calibri Light" w:hAnsi="Calibri Light"/>
      <w:b/>
      <w:bCs/>
      <w:kern w:val="28"/>
      <w:sz w:val="32"/>
      <w:szCs w:val="32"/>
    </w:rPr>
  </w:style>
  <w:style w:type="paragraph" w:styleId="af5">
    <w:name w:val="List"/>
    <w:basedOn w:val="a1"/>
    <w:qFormat/>
    <w:pPr>
      <w:autoSpaceDE w:val="0"/>
      <w:autoSpaceDN w:val="0"/>
      <w:adjustRightInd w:val="0"/>
      <w:ind w:left="200" w:hangingChars="200" w:hanging="200"/>
      <w:textAlignment w:val="baseline"/>
    </w:pPr>
    <w:rPr>
      <w:rFonts w:ascii="Times New Roman" w:hAnsi="Times New Roman"/>
      <w:kern w:val="0"/>
      <w:sz w:val="24"/>
      <w:szCs w:val="20"/>
    </w:rPr>
  </w:style>
  <w:style w:type="paragraph" w:styleId="af6">
    <w:name w:val="footnote text"/>
    <w:basedOn w:val="a1"/>
    <w:link w:val="Chard"/>
    <w:qFormat/>
    <w:pPr>
      <w:snapToGrid w:val="0"/>
      <w:jc w:val="left"/>
    </w:pPr>
    <w:rPr>
      <w:rFonts w:ascii="Times New Roman" w:hAnsi="Times New Roman"/>
      <w:sz w:val="18"/>
      <w:szCs w:val="18"/>
    </w:rPr>
  </w:style>
  <w:style w:type="paragraph" w:styleId="60">
    <w:name w:val="toc 6"/>
    <w:basedOn w:val="a1"/>
    <w:next w:val="a1"/>
    <w:semiHidden/>
    <w:qFormat/>
    <w:pPr>
      <w:ind w:left="1050"/>
      <w:jc w:val="left"/>
    </w:pPr>
    <w:rPr>
      <w:rFonts w:ascii="Times New Roman" w:hAnsi="Times New Roman"/>
      <w:sz w:val="18"/>
      <w:szCs w:val="18"/>
    </w:rPr>
  </w:style>
  <w:style w:type="paragraph" w:styleId="51">
    <w:name w:val="List 5"/>
    <w:basedOn w:val="a1"/>
    <w:qFormat/>
    <w:pPr>
      <w:autoSpaceDE w:val="0"/>
      <w:autoSpaceDN w:val="0"/>
      <w:adjustRightInd w:val="0"/>
      <w:ind w:leftChars="800" w:left="100" w:hangingChars="200" w:hanging="200"/>
      <w:textAlignment w:val="baseline"/>
    </w:pPr>
    <w:rPr>
      <w:rFonts w:ascii="Times New Roman" w:hAnsi="Times New Roman"/>
      <w:kern w:val="0"/>
      <w:sz w:val="24"/>
      <w:szCs w:val="20"/>
    </w:rPr>
  </w:style>
  <w:style w:type="paragraph" w:styleId="32">
    <w:name w:val="Body Text Indent 3"/>
    <w:basedOn w:val="a1"/>
    <w:link w:val="3Char0"/>
    <w:qFormat/>
    <w:pPr>
      <w:widowControl/>
      <w:spacing w:line="520" w:lineRule="exact"/>
      <w:ind w:firstLineChars="200" w:firstLine="576"/>
      <w:jc w:val="left"/>
    </w:pPr>
    <w:rPr>
      <w:rFonts w:ascii="楷体_GB2312" w:eastAsia="楷体_GB2312" w:hAnsi="Times New Roman"/>
      <w:bCs/>
      <w:color w:val="000000"/>
      <w:spacing w:val="8"/>
      <w:kern w:val="0"/>
      <w:sz w:val="28"/>
      <w:szCs w:val="24"/>
    </w:rPr>
  </w:style>
  <w:style w:type="paragraph" w:styleId="22">
    <w:name w:val="toc 2"/>
    <w:basedOn w:val="a1"/>
    <w:next w:val="a1"/>
    <w:semiHidden/>
    <w:qFormat/>
    <w:pPr>
      <w:ind w:left="210"/>
      <w:jc w:val="left"/>
    </w:pPr>
    <w:rPr>
      <w:rFonts w:ascii="Times New Roman" w:hAnsi="Times New Roman"/>
      <w:smallCaps/>
      <w:sz w:val="20"/>
      <w:szCs w:val="20"/>
    </w:rPr>
  </w:style>
  <w:style w:type="paragraph" w:styleId="90">
    <w:name w:val="toc 9"/>
    <w:basedOn w:val="a1"/>
    <w:next w:val="a1"/>
    <w:semiHidden/>
    <w:qFormat/>
    <w:pPr>
      <w:ind w:left="1680"/>
      <w:jc w:val="left"/>
    </w:pPr>
    <w:rPr>
      <w:rFonts w:ascii="Times New Roman" w:hAnsi="Times New Roman"/>
      <w:sz w:val="18"/>
      <w:szCs w:val="18"/>
    </w:rPr>
  </w:style>
  <w:style w:type="paragraph" w:styleId="23">
    <w:name w:val="Body Text 2"/>
    <w:basedOn w:val="a1"/>
    <w:link w:val="2Char1"/>
    <w:qFormat/>
    <w:pPr>
      <w:spacing w:after="120" w:line="480" w:lineRule="auto"/>
    </w:pPr>
    <w:rPr>
      <w:rFonts w:ascii="Times New Roman" w:hAnsi="Times New Roman"/>
      <w:szCs w:val="24"/>
    </w:rPr>
  </w:style>
  <w:style w:type="paragraph" w:styleId="41">
    <w:name w:val="List 4"/>
    <w:basedOn w:val="a1"/>
    <w:qFormat/>
    <w:pPr>
      <w:autoSpaceDE w:val="0"/>
      <w:autoSpaceDN w:val="0"/>
      <w:adjustRightInd w:val="0"/>
      <w:ind w:leftChars="600" w:left="100" w:hangingChars="200" w:hanging="200"/>
      <w:textAlignment w:val="baseline"/>
    </w:pPr>
    <w:rPr>
      <w:rFonts w:ascii="Times New Roman" w:hAnsi="Times New Roman"/>
      <w:kern w:val="0"/>
      <w:sz w:val="24"/>
      <w:szCs w:val="20"/>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30"/>
      <w:szCs w:val="30"/>
    </w:rPr>
  </w:style>
  <w:style w:type="paragraph" w:styleId="af7">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8">
    <w:name w:val="Title"/>
    <w:basedOn w:val="a1"/>
    <w:link w:val="Chare"/>
    <w:qFormat/>
    <w:pPr>
      <w:wordWrap w:val="0"/>
      <w:jc w:val="center"/>
    </w:pPr>
    <w:rPr>
      <w:rFonts w:ascii="Times New Roman" w:eastAsia="BatangChe" w:hAnsi="Times New Roman"/>
      <w:sz w:val="40"/>
      <w:szCs w:val="20"/>
      <w:lang w:eastAsia="ko-KR"/>
    </w:rPr>
  </w:style>
  <w:style w:type="paragraph" w:styleId="af9">
    <w:name w:val="annotation subject"/>
    <w:basedOn w:val="a9"/>
    <w:next w:val="a9"/>
    <w:link w:val="Charf"/>
    <w:uiPriority w:val="99"/>
    <w:unhideWhenUsed/>
    <w:qFormat/>
    <w:rPr>
      <w:b/>
      <w:bCs/>
    </w:rPr>
  </w:style>
  <w:style w:type="paragraph" w:styleId="afa">
    <w:name w:val="Body Text First Indent"/>
    <w:basedOn w:val="ac"/>
    <w:link w:val="Charf0"/>
    <w:qFormat/>
    <w:pPr>
      <w:ind w:firstLineChars="100" w:firstLine="420"/>
    </w:pPr>
  </w:style>
  <w:style w:type="paragraph" w:styleId="24">
    <w:name w:val="Body Text First Indent 2"/>
    <w:basedOn w:val="ad"/>
    <w:link w:val="2Char2"/>
    <w:qFormat/>
    <w:pPr>
      <w:autoSpaceDE w:val="0"/>
      <w:autoSpaceDN w:val="0"/>
      <w:adjustRightInd w:val="0"/>
      <w:spacing w:after="120" w:line="240" w:lineRule="auto"/>
      <w:ind w:leftChars="200" w:left="420" w:firstLineChars="200" w:firstLine="420"/>
      <w:textAlignment w:val="baseline"/>
    </w:pPr>
    <w:rPr>
      <w:rFonts w:ascii="Times New Roman" w:eastAsia="宋体"/>
      <w:kern w:val="0"/>
      <w:sz w:val="24"/>
      <w:szCs w:val="20"/>
    </w:rPr>
  </w:style>
  <w:style w:type="table" w:styleId="afb">
    <w:name w:val="Table Grid"/>
    <w:basedOn w:val="a4"/>
    <w:uiPriority w:val="39"/>
    <w:qFormat/>
    <w:rPr>
      <w:rFonts w:ascii="Arial" w:eastAsia="仿宋_GB2312" w:hAnsi="Arial"/>
      <w:sz w:val="28"/>
      <w:szCs w:val="3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1">
    <w:name w:val="Table Simple 1"/>
    <w:basedOn w:val="a4"/>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character" w:styleId="afc">
    <w:name w:val="Strong"/>
    <w:uiPriority w:val="22"/>
    <w:qFormat/>
    <w:rPr>
      <w:b/>
      <w:bCs/>
    </w:rPr>
  </w:style>
  <w:style w:type="character" w:styleId="afd">
    <w:name w:val="endnote reference"/>
    <w:qFormat/>
    <w:rPr>
      <w:vertAlign w:val="superscript"/>
    </w:rPr>
  </w:style>
  <w:style w:type="character" w:styleId="afe">
    <w:name w:val="page number"/>
    <w:basedOn w:val="a3"/>
    <w:qFormat/>
  </w:style>
  <w:style w:type="character" w:styleId="aff">
    <w:name w:val="FollowedHyperlink"/>
    <w:unhideWhenUsed/>
    <w:qFormat/>
    <w:rPr>
      <w:color w:val="800080"/>
      <w:u w:val="single"/>
    </w:rPr>
  </w:style>
  <w:style w:type="character" w:styleId="aff0">
    <w:name w:val="Emphasis"/>
    <w:qFormat/>
    <w:rPr>
      <w:i/>
      <w:iCs/>
    </w:rPr>
  </w:style>
  <w:style w:type="character" w:styleId="aff1">
    <w:name w:val="Hyperlink"/>
    <w:uiPriority w:val="99"/>
    <w:qFormat/>
    <w:rPr>
      <w:color w:val="0000FF"/>
      <w:u w:val="single"/>
    </w:rPr>
  </w:style>
  <w:style w:type="character" w:styleId="aff2">
    <w:name w:val="annotation reference"/>
    <w:uiPriority w:val="99"/>
    <w:unhideWhenUsed/>
    <w:qFormat/>
    <w:rPr>
      <w:sz w:val="21"/>
      <w:szCs w:val="21"/>
    </w:rPr>
  </w:style>
  <w:style w:type="character" w:styleId="aff3">
    <w:name w:val="footnote reference"/>
    <w:qFormat/>
    <w:rPr>
      <w:vertAlign w:val="superscript"/>
    </w:rPr>
  </w:style>
  <w:style w:type="character" w:customStyle="1" w:styleId="Charb">
    <w:name w:val="页眉 Char"/>
    <w:link w:val="af3"/>
    <w:uiPriority w:val="99"/>
    <w:qFormat/>
    <w:rPr>
      <w:sz w:val="18"/>
      <w:szCs w:val="18"/>
    </w:rPr>
  </w:style>
  <w:style w:type="character" w:customStyle="1" w:styleId="Chara">
    <w:name w:val="页脚 Char"/>
    <w:link w:val="af2"/>
    <w:uiPriority w:val="99"/>
    <w:qFormat/>
    <w:rPr>
      <w:sz w:val="18"/>
      <w:szCs w:val="18"/>
    </w:rPr>
  </w:style>
  <w:style w:type="character" w:customStyle="1" w:styleId="Char7">
    <w:name w:val="日期 Char"/>
    <w:basedOn w:val="a3"/>
    <w:link w:val="af"/>
    <w:qFormat/>
  </w:style>
  <w:style w:type="character" w:customStyle="1" w:styleId="Char9">
    <w:name w:val="批注框文本 Char"/>
    <w:link w:val="af1"/>
    <w:uiPriority w:val="99"/>
    <w:qFormat/>
    <w:rPr>
      <w:sz w:val="18"/>
      <w:szCs w:val="18"/>
    </w:rPr>
  </w:style>
  <w:style w:type="character" w:customStyle="1" w:styleId="Char1">
    <w:name w:val="批注文字 Char"/>
    <w:basedOn w:val="a3"/>
    <w:link w:val="a9"/>
    <w:uiPriority w:val="99"/>
    <w:qFormat/>
  </w:style>
  <w:style w:type="character" w:customStyle="1" w:styleId="Charf">
    <w:name w:val="批注主题 Char"/>
    <w:link w:val="af9"/>
    <w:uiPriority w:val="99"/>
    <w:qFormat/>
    <w:rPr>
      <w:b/>
      <w:bCs/>
    </w:rPr>
  </w:style>
  <w:style w:type="paragraph" w:customStyle="1" w:styleId="aff4">
    <w:name w:val=".报告正文"/>
    <w:basedOn w:val="a1"/>
    <w:link w:val="aff5"/>
    <w:qFormat/>
    <w:pPr>
      <w:spacing w:line="300" w:lineRule="auto"/>
    </w:pPr>
    <w:rPr>
      <w:rFonts w:ascii="Times New Roman" w:eastAsia="仿宋" w:hAnsi="Times New Roman"/>
      <w:bCs/>
      <w:sz w:val="24"/>
      <w:szCs w:val="21"/>
    </w:rPr>
  </w:style>
  <w:style w:type="character" w:customStyle="1" w:styleId="aff5">
    <w:name w:val=".报告正文 字符"/>
    <w:link w:val="aff4"/>
    <w:qFormat/>
    <w:rPr>
      <w:rFonts w:ascii="Times New Roman" w:eastAsia="仿宋" w:hAnsi="Times New Roman" w:cs="Times New Roman"/>
      <w:bCs/>
      <w:sz w:val="24"/>
      <w:szCs w:val="21"/>
    </w:rPr>
  </w:style>
  <w:style w:type="paragraph" w:styleId="aff6">
    <w:name w:val="List Paragraph"/>
    <w:basedOn w:val="a1"/>
    <w:link w:val="Charf1"/>
    <w:uiPriority w:val="34"/>
    <w:qFormat/>
    <w:pPr>
      <w:ind w:firstLineChars="200" w:firstLine="420"/>
    </w:pPr>
  </w:style>
  <w:style w:type="table" w:customStyle="1" w:styleId="12">
    <w:name w:val="网格型1"/>
    <w:basedOn w:val="a4"/>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
    <w:uiPriority w:val="9"/>
    <w:qFormat/>
    <w:rPr>
      <w:rFonts w:ascii="Arial" w:eastAsia="黑体" w:hAnsi="Arial" w:cs="Times New Roman"/>
      <w:b/>
      <w:bCs/>
      <w:sz w:val="32"/>
      <w:szCs w:val="32"/>
    </w:rPr>
  </w:style>
  <w:style w:type="character" w:customStyle="1" w:styleId="3Char">
    <w:name w:val="标题 3 Char"/>
    <w:link w:val="30"/>
    <w:uiPriority w:val="9"/>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黑体" w:eastAsia="黑体" w:hAnsi="Arial" w:cs="Times New Roman"/>
      <w:kern w:val="24"/>
      <w:sz w:val="24"/>
      <w:szCs w:val="24"/>
    </w:rPr>
  </w:style>
  <w:style w:type="character" w:customStyle="1" w:styleId="9Char">
    <w:name w:val="标题 9 Char"/>
    <w:link w:val="9"/>
    <w:qFormat/>
    <w:rPr>
      <w:rFonts w:ascii="Arial" w:eastAsia="黑体" w:hAnsi="Arial" w:cs="Times New Roman"/>
      <w:kern w:val="0"/>
      <w:szCs w:val="20"/>
    </w:rPr>
  </w:style>
  <w:style w:type="character" w:customStyle="1" w:styleId="Char">
    <w:name w:val="正文缩进 Char"/>
    <w:link w:val="a2"/>
    <w:qFormat/>
    <w:rPr>
      <w:rFonts w:ascii="Times New Roman" w:eastAsia="宋体" w:hAnsi="Times New Roman" w:cs="Times New Roman"/>
      <w:szCs w:val="24"/>
    </w:rPr>
  </w:style>
  <w:style w:type="paragraph" w:customStyle="1" w:styleId="Charf2">
    <w:name w:val="Char"/>
    <w:basedOn w:val="a1"/>
    <w:qFormat/>
    <w:rPr>
      <w:rFonts w:ascii="Tahoma" w:hAnsi="Tahoma"/>
      <w:sz w:val="24"/>
      <w:szCs w:val="20"/>
    </w:rPr>
  </w:style>
  <w:style w:type="character" w:customStyle="1" w:styleId="Char8">
    <w:name w:val="尾注文本 Char"/>
    <w:link w:val="af0"/>
    <w:qFormat/>
    <w:rPr>
      <w:rFonts w:ascii="Times New Roman" w:eastAsia="宋体" w:hAnsi="Times New Roman" w:cs="Times New Roman"/>
      <w:szCs w:val="24"/>
    </w:rPr>
  </w:style>
  <w:style w:type="character" w:customStyle="1" w:styleId="Char5">
    <w:name w:val="正文文本缩进 Char"/>
    <w:link w:val="ad"/>
    <w:qFormat/>
    <w:rPr>
      <w:rFonts w:ascii="仿宋_GB2312" w:eastAsia="仿宋_GB2312" w:hAnsi="Times New Roman" w:cs="Times New Roman"/>
      <w:sz w:val="32"/>
      <w:szCs w:val="24"/>
    </w:rPr>
  </w:style>
  <w:style w:type="character" w:customStyle="1" w:styleId="2Char0">
    <w:name w:val="正文文本缩进 2 Char"/>
    <w:link w:val="21"/>
    <w:qFormat/>
    <w:rPr>
      <w:rFonts w:ascii="仿宋_GB2312" w:eastAsia="仿宋_GB2312" w:hAnsi="宋体" w:cs="Times New Roman"/>
      <w:sz w:val="32"/>
      <w:szCs w:val="24"/>
    </w:rPr>
  </w:style>
  <w:style w:type="table" w:customStyle="1" w:styleId="25">
    <w:name w:val="网格型2"/>
    <w:basedOn w:val="a4"/>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1">
    <w:name w:val="CM1"/>
    <w:basedOn w:val="a1"/>
    <w:next w:val="a1"/>
    <w:qFormat/>
    <w:pPr>
      <w:autoSpaceDE w:val="0"/>
      <w:autoSpaceDN w:val="0"/>
      <w:adjustRightInd w:val="0"/>
      <w:jc w:val="left"/>
    </w:pPr>
    <w:rPr>
      <w:rFonts w:ascii="方正大标宋简体" w:eastAsia="方正大标宋简体" w:hAnsi="Times New Roman"/>
      <w:kern w:val="0"/>
      <w:sz w:val="24"/>
      <w:szCs w:val="24"/>
    </w:rPr>
  </w:style>
  <w:style w:type="paragraph" w:customStyle="1" w:styleId="CM14">
    <w:name w:val="CM14"/>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5">
    <w:name w:val="CM15"/>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6">
    <w:name w:val="CM16"/>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9">
    <w:name w:val="CM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8">
    <w:name w:val="CM1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1">
    <w:name w:val="CM11"/>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8">
    <w:name w:val="CM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1">
    <w:name w:val="CM21"/>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6">
    <w:name w:val="CM26"/>
    <w:basedOn w:val="a1"/>
    <w:next w:val="a1"/>
    <w:qFormat/>
    <w:pPr>
      <w:autoSpaceDE w:val="0"/>
      <w:autoSpaceDN w:val="0"/>
      <w:adjustRightInd w:val="0"/>
      <w:jc w:val="left"/>
    </w:pPr>
    <w:rPr>
      <w:rFonts w:ascii="方正大标宋简体" w:eastAsia="方正大标宋简体" w:hAnsi="Times New Roman" w:cs="方正大标宋简体"/>
      <w:kern w:val="0"/>
      <w:sz w:val="24"/>
      <w:szCs w:val="24"/>
    </w:rPr>
  </w:style>
  <w:style w:type="paragraph" w:customStyle="1" w:styleId="CM29">
    <w:name w:val="CM2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0">
    <w:name w:val="CM20"/>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9">
    <w:name w:val="CM1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2">
    <w:name w:val="CM22"/>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Style67">
    <w:name w:val="_Style 67"/>
    <w:qFormat/>
    <w:rPr>
      <w:rFonts w:ascii="Calibri" w:hAnsi="Calibri"/>
      <w:kern w:val="2"/>
      <w:sz w:val="21"/>
      <w:szCs w:val="22"/>
    </w:rPr>
  </w:style>
  <w:style w:type="character" w:customStyle="1" w:styleId="Char4">
    <w:name w:val="正文文本 Char"/>
    <w:link w:val="ac"/>
    <w:qFormat/>
    <w:rPr>
      <w:rFonts w:ascii="Times New Roman" w:eastAsia="宋体" w:hAnsi="Times New Roman" w:cs="Times New Roman"/>
      <w:szCs w:val="24"/>
    </w:rPr>
  </w:style>
  <w:style w:type="character" w:customStyle="1" w:styleId="Chare">
    <w:name w:val="标题 Char"/>
    <w:link w:val="af8"/>
    <w:qFormat/>
    <w:rPr>
      <w:rFonts w:ascii="Times New Roman" w:eastAsia="BatangChe" w:hAnsi="Times New Roman" w:cs="Times New Roman"/>
      <w:sz w:val="40"/>
      <w:szCs w:val="20"/>
      <w:lang w:eastAsia="ko-KR"/>
    </w:rPr>
  </w:style>
  <w:style w:type="character" w:customStyle="1" w:styleId="grame">
    <w:name w:val="grame"/>
    <w:basedOn w:val="a3"/>
    <w:qFormat/>
  </w:style>
  <w:style w:type="character" w:customStyle="1" w:styleId="Char6">
    <w:name w:val="纯文本 Char"/>
    <w:link w:val="ae"/>
    <w:qFormat/>
    <w:rPr>
      <w:rFonts w:ascii="宋体" w:eastAsia="宋体" w:hAnsi="Courier New" w:cs="Times New Roman"/>
      <w:szCs w:val="21"/>
    </w:rPr>
  </w:style>
  <w:style w:type="character" w:customStyle="1" w:styleId="Chard">
    <w:name w:val="脚注文本 Char"/>
    <w:link w:val="af6"/>
    <w:uiPriority w:val="99"/>
    <w:qFormat/>
    <w:rPr>
      <w:rFonts w:ascii="Times New Roman" w:eastAsia="宋体" w:hAnsi="Times New Roman" w:cs="Times New Roman"/>
      <w:sz w:val="18"/>
      <w:szCs w:val="18"/>
    </w:rPr>
  </w:style>
  <w:style w:type="character" w:customStyle="1" w:styleId="f1">
    <w:name w:val="f1"/>
    <w:qFormat/>
    <w:rPr>
      <w:rFonts w:ascii="黑体" w:eastAsia="黑体" w:hint="eastAsia"/>
      <w:color w:val="000000"/>
      <w:sz w:val="24"/>
      <w:szCs w:val="24"/>
    </w:rPr>
  </w:style>
  <w:style w:type="character" w:customStyle="1" w:styleId="text1">
    <w:name w:val="text1"/>
    <w:qFormat/>
    <w:rPr>
      <w:sz w:val="18"/>
      <w:szCs w:val="18"/>
    </w:rPr>
  </w:style>
  <w:style w:type="character" w:customStyle="1" w:styleId="p1">
    <w:name w:val="p1"/>
    <w:basedOn w:val="a3"/>
    <w:qFormat/>
  </w:style>
  <w:style w:type="character" w:customStyle="1" w:styleId="style7">
    <w:name w:val="style7"/>
    <w:basedOn w:val="a3"/>
    <w:qFormat/>
  </w:style>
  <w:style w:type="paragraph" w:customStyle="1" w:styleId="CharCharCharCharCharCharCharCharCharCharCharCharCharCharCharChar">
    <w:name w:val="Char Char Char Char Char Char Char Char Char Char Char Char Char Char Char Char"/>
    <w:basedOn w:val="a1"/>
    <w:semiHidden/>
    <w:qFormat/>
    <w:pPr>
      <w:numPr>
        <w:ilvl w:val="2"/>
        <w:numId w:val="2"/>
      </w:numPr>
      <w:tabs>
        <w:tab w:val="clear" w:pos="709"/>
        <w:tab w:val="left" w:pos="360"/>
      </w:tabs>
      <w:ind w:left="0" w:firstLine="0"/>
    </w:pPr>
    <w:rPr>
      <w:rFonts w:ascii="Times New Roman" w:hAnsi="Times New Roman"/>
      <w:sz w:val="24"/>
      <w:szCs w:val="24"/>
    </w:rPr>
  </w:style>
  <w:style w:type="character" w:customStyle="1" w:styleId="Charf0">
    <w:name w:val="正文首行缩进 Char"/>
    <w:link w:val="afa"/>
    <w:qFormat/>
    <w:rPr>
      <w:rFonts w:ascii="Times New Roman" w:eastAsia="宋体" w:hAnsi="Times New Roman" w:cs="Times New Roman"/>
      <w:szCs w:val="24"/>
    </w:rPr>
  </w:style>
  <w:style w:type="paragraph" w:customStyle="1" w:styleId="StandardNumbering">
    <w:name w:val="Standard Numbering"/>
    <w:basedOn w:val="a1"/>
    <w:qFormat/>
    <w:pPr>
      <w:widowControl/>
      <w:tabs>
        <w:tab w:val="left" w:pos="1290"/>
      </w:tabs>
      <w:spacing w:after="400"/>
      <w:ind w:left="1290" w:hanging="720"/>
      <w:jc w:val="left"/>
    </w:pPr>
    <w:rPr>
      <w:rFonts w:ascii="Arial" w:eastAsia="Batang" w:hAnsi="Arial"/>
      <w:kern w:val="0"/>
      <w:sz w:val="24"/>
      <w:szCs w:val="20"/>
      <w:lang w:val="en-GB" w:eastAsia="en-US"/>
    </w:rPr>
  </w:style>
  <w:style w:type="character" w:customStyle="1" w:styleId="color07">
    <w:name w:val="color07"/>
    <w:basedOn w:val="a3"/>
    <w:qFormat/>
  </w:style>
  <w:style w:type="paragraph" w:customStyle="1" w:styleId="aff7">
    <w:name w:val="表格用"/>
    <w:basedOn w:val="a1"/>
    <w:next w:val="a1"/>
    <w:qFormat/>
    <w:rPr>
      <w:rFonts w:ascii="Times New Roman" w:hAnsi="Times New Roman"/>
      <w:sz w:val="24"/>
      <w:szCs w:val="20"/>
    </w:rPr>
  </w:style>
  <w:style w:type="paragraph" w:customStyle="1" w:styleId="xl22">
    <w:name w:val="xl22"/>
    <w:basedOn w:val="a1"/>
    <w:qFormat/>
    <w:pPr>
      <w:widowControl/>
      <w:pBdr>
        <w:bottom w:val="single" w:sz="4" w:space="0" w:color="auto"/>
        <w:right w:val="single" w:sz="4" w:space="0" w:color="auto"/>
      </w:pBdr>
      <w:spacing w:before="100" w:beforeAutospacing="1" w:after="100" w:afterAutospacing="1"/>
      <w:jc w:val="center"/>
    </w:pPr>
    <w:rPr>
      <w:rFonts w:ascii="仿宋_GB2312" w:eastAsia="仿宋_GB2312" w:hAnsi="宋体" w:hint="eastAsia"/>
      <w:kern w:val="0"/>
      <w:szCs w:val="21"/>
    </w:rPr>
  </w:style>
  <w:style w:type="character" w:customStyle="1" w:styleId="Char2">
    <w:name w:val="称呼 Char"/>
    <w:link w:val="aa"/>
    <w:qFormat/>
    <w:rPr>
      <w:rFonts w:ascii="Times New Roman" w:eastAsia="宋体" w:hAnsi="Times New Roman" w:cs="Times New Roman"/>
      <w:szCs w:val="24"/>
    </w:rPr>
  </w:style>
  <w:style w:type="paragraph" w:customStyle="1" w:styleId="Default">
    <w:name w:val="Default"/>
    <w:qFormat/>
    <w:pPr>
      <w:widowControl w:val="0"/>
      <w:autoSpaceDE w:val="0"/>
      <w:autoSpaceDN w:val="0"/>
      <w:adjustRightInd w:val="0"/>
    </w:pPr>
    <w:rPr>
      <w:rFonts w:ascii="方正大标宋简体" w:eastAsia="方正大标宋简体" w:cs="方正大标宋简体"/>
      <w:color w:val="000000"/>
      <w:sz w:val="24"/>
      <w:szCs w:val="24"/>
    </w:rPr>
  </w:style>
  <w:style w:type="paragraph" w:customStyle="1" w:styleId="CharCharCharChar">
    <w:name w:val="Char Char Char Char"/>
    <w:basedOn w:val="a1"/>
    <w:qFormat/>
    <w:rPr>
      <w:rFonts w:ascii="Tahoma" w:hAnsi="Tahoma"/>
      <w:sz w:val="24"/>
      <w:szCs w:val="20"/>
    </w:rPr>
  </w:style>
  <w:style w:type="character" w:customStyle="1" w:styleId="new-content">
    <w:name w:val="new-content"/>
    <w:basedOn w:val="a3"/>
    <w:qFormat/>
  </w:style>
  <w:style w:type="paragraph" w:customStyle="1" w:styleId="42">
    <w:name w:val="标题4"/>
    <w:basedOn w:val="4"/>
    <w:qFormat/>
    <w:pPr>
      <w:tabs>
        <w:tab w:val="clear" w:pos="851"/>
      </w:tabs>
      <w:ind w:left="1900" w:hanging="420"/>
    </w:pPr>
    <w:rPr>
      <w:rFonts w:ascii="仿宋_GB2312" w:eastAsia="仿宋_GB2312" w:hAnsi="仿宋_GB2312"/>
      <w:bCs w:val="0"/>
    </w:rPr>
  </w:style>
  <w:style w:type="paragraph" w:customStyle="1" w:styleId="CharCharCharCharCharCharCharCharCharChar">
    <w:name w:val="Char Char Char Char Char Char Char Char Char Char"/>
    <w:basedOn w:val="a1"/>
    <w:qFormat/>
    <w:pPr>
      <w:tabs>
        <w:tab w:val="left" w:pos="360"/>
      </w:tabs>
    </w:pPr>
    <w:rPr>
      <w:rFonts w:ascii="Times New Roman" w:hAnsi="Times New Roman"/>
      <w:sz w:val="24"/>
      <w:szCs w:val="24"/>
    </w:rPr>
  </w:style>
  <w:style w:type="paragraph" w:customStyle="1" w:styleId="CM99">
    <w:name w:val="CM99"/>
    <w:basedOn w:val="a1"/>
    <w:next w:val="a1"/>
    <w:qFormat/>
    <w:pPr>
      <w:autoSpaceDE w:val="0"/>
      <w:autoSpaceDN w:val="0"/>
      <w:adjustRightInd w:val="0"/>
      <w:spacing w:after="813"/>
      <w:jc w:val="left"/>
    </w:pPr>
    <w:rPr>
      <w:rFonts w:ascii="方正大标宋简体" w:eastAsia="方正大标宋简体" w:hAnsi="Times New Roman"/>
      <w:kern w:val="0"/>
      <w:sz w:val="24"/>
      <w:szCs w:val="24"/>
    </w:rPr>
  </w:style>
  <w:style w:type="paragraph" w:customStyle="1" w:styleId="CM25">
    <w:name w:val="CM25"/>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character" w:customStyle="1" w:styleId="Char3">
    <w:name w:val="结束语 Char"/>
    <w:link w:val="ab"/>
    <w:qFormat/>
    <w:rPr>
      <w:rFonts w:ascii="Times New Roman" w:eastAsia="仿宋_GB2312" w:hAnsi="Times New Roman" w:cs="Times New Roman"/>
      <w:sz w:val="32"/>
      <w:szCs w:val="32"/>
    </w:rPr>
  </w:style>
  <w:style w:type="character" w:customStyle="1" w:styleId="3Char0">
    <w:name w:val="正文文本缩进 3 Char"/>
    <w:link w:val="32"/>
    <w:qFormat/>
    <w:rPr>
      <w:rFonts w:ascii="楷体_GB2312" w:eastAsia="楷体_GB2312" w:hAnsi="Times New Roman" w:cs="Times New Roman"/>
      <w:bCs/>
      <w:color w:val="000000"/>
      <w:spacing w:val="8"/>
      <w:kern w:val="0"/>
      <w:sz w:val="28"/>
      <w:szCs w:val="24"/>
    </w:rPr>
  </w:style>
  <w:style w:type="paragraph" w:customStyle="1" w:styleId="CM28">
    <w:name w:val="CM2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3">
    <w:name w:val="CM33"/>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7">
    <w:name w:val="CM7"/>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5">
    <w:name w:val="CM35"/>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27">
    <w:name w:val="CM27"/>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9">
    <w:name w:val="CM39"/>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60">
    <w:name w:val="CM60"/>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98">
    <w:name w:val="CM98"/>
    <w:basedOn w:val="Default"/>
    <w:next w:val="Default"/>
    <w:qFormat/>
    <w:pPr>
      <w:spacing w:after="303"/>
    </w:pPr>
    <w:rPr>
      <w:rFonts w:cs="Times New Roman"/>
      <w:color w:val="auto"/>
    </w:rPr>
  </w:style>
  <w:style w:type="paragraph" w:customStyle="1" w:styleId="CM47">
    <w:name w:val="CM47"/>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2">
    <w:name w:val="CM12"/>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38">
    <w:name w:val="CM38"/>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3">
    <w:name w:val="CM13"/>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36">
    <w:name w:val="CM36"/>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81">
    <w:name w:val="CM81"/>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10">
    <w:name w:val="CM10"/>
    <w:basedOn w:val="a1"/>
    <w:next w:val="a1"/>
    <w:qFormat/>
    <w:pPr>
      <w:autoSpaceDE w:val="0"/>
      <w:autoSpaceDN w:val="0"/>
      <w:adjustRightInd w:val="0"/>
      <w:spacing w:line="403" w:lineRule="atLeast"/>
      <w:jc w:val="left"/>
    </w:pPr>
    <w:rPr>
      <w:rFonts w:ascii="方正大标宋简体" w:eastAsia="方正大标宋简体" w:hAnsi="Times New Roman" w:cs="方正大标宋简体"/>
      <w:kern w:val="0"/>
      <w:sz w:val="24"/>
      <w:szCs w:val="24"/>
    </w:rPr>
  </w:style>
  <w:style w:type="paragraph" w:customStyle="1" w:styleId="CM87">
    <w:name w:val="CM87"/>
    <w:basedOn w:val="Default"/>
    <w:next w:val="Default"/>
    <w:qFormat/>
    <w:pPr>
      <w:spacing w:line="403" w:lineRule="atLeast"/>
    </w:pPr>
    <w:rPr>
      <w:color w:val="auto"/>
    </w:rPr>
  </w:style>
  <w:style w:type="paragraph" w:customStyle="1" w:styleId="CM97">
    <w:name w:val="CM97"/>
    <w:basedOn w:val="Default"/>
    <w:next w:val="Default"/>
    <w:qFormat/>
    <w:pPr>
      <w:spacing w:after="133"/>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57">
    <w:name w:val="CM57"/>
    <w:basedOn w:val="Default"/>
    <w:next w:val="Default"/>
    <w:qFormat/>
    <w:pPr>
      <w:spacing w:line="403" w:lineRule="atLeast"/>
    </w:pPr>
    <w:rPr>
      <w:color w:val="auto"/>
    </w:rPr>
  </w:style>
  <w:style w:type="paragraph" w:customStyle="1" w:styleId="CM63">
    <w:name w:val="CM63"/>
    <w:basedOn w:val="Default"/>
    <w:next w:val="Default"/>
    <w:qFormat/>
    <w:pPr>
      <w:spacing w:line="403" w:lineRule="atLeast"/>
    </w:pPr>
    <w:rPr>
      <w:color w:val="auto"/>
    </w:rPr>
  </w:style>
  <w:style w:type="paragraph" w:customStyle="1" w:styleId="Outline">
    <w:name w:val="Outline"/>
    <w:basedOn w:val="a1"/>
    <w:qFormat/>
    <w:pPr>
      <w:widowControl/>
      <w:spacing w:before="240"/>
      <w:jc w:val="left"/>
    </w:pPr>
    <w:rPr>
      <w:rFonts w:ascii="Times New Roman" w:eastAsia="Times New Roman" w:hAnsi="Times New Roman"/>
      <w:kern w:val="28"/>
      <w:sz w:val="24"/>
      <w:szCs w:val="20"/>
      <w:lang w:eastAsia="en-US"/>
    </w:rPr>
  </w:style>
  <w:style w:type="paragraph" w:customStyle="1" w:styleId="ParagraphNumbering">
    <w:name w:val="Paragraph Numbering"/>
    <w:basedOn w:val="a1"/>
    <w:qFormat/>
    <w:pPr>
      <w:tabs>
        <w:tab w:val="left" w:pos="720"/>
      </w:tabs>
      <w:spacing w:after="240" w:line="264" w:lineRule="auto"/>
    </w:pPr>
    <w:rPr>
      <w:rFonts w:ascii="Times New Roman" w:hAnsi="Times New Roman"/>
      <w:sz w:val="24"/>
      <w:szCs w:val="20"/>
    </w:rPr>
  </w:style>
  <w:style w:type="paragraph" w:customStyle="1" w:styleId="CharCharChar">
    <w:name w:val="Char Char Char"/>
    <w:basedOn w:val="a1"/>
    <w:qFormat/>
    <w:rPr>
      <w:rFonts w:ascii="Times New Roman" w:hAnsi="Times New Roman"/>
      <w:szCs w:val="24"/>
    </w:rPr>
  </w:style>
  <w:style w:type="paragraph" w:customStyle="1" w:styleId="MD1L1">
    <w:name w:val="MD1_L1"/>
    <w:basedOn w:val="a1"/>
    <w:next w:val="MD1L2"/>
    <w:qFormat/>
    <w:pPr>
      <w:keepNext/>
      <w:widowControl/>
      <w:tabs>
        <w:tab w:val="left" w:pos="0"/>
      </w:tabs>
      <w:spacing w:after="240"/>
      <w:jc w:val="center"/>
      <w:outlineLvl w:val="0"/>
    </w:pPr>
    <w:rPr>
      <w:rFonts w:ascii="Times New Roman" w:hAnsi="Times New Roman"/>
      <w:b/>
      <w:kern w:val="0"/>
      <w:sz w:val="24"/>
      <w:szCs w:val="20"/>
      <w:lang w:eastAsia="en-US"/>
    </w:rPr>
  </w:style>
  <w:style w:type="paragraph" w:customStyle="1" w:styleId="MD1L2">
    <w:name w:val="MD1_L2"/>
    <w:basedOn w:val="a1"/>
    <w:qFormat/>
    <w:pPr>
      <w:widowControl/>
      <w:tabs>
        <w:tab w:val="left" w:pos="720"/>
      </w:tabs>
      <w:spacing w:after="240"/>
      <w:outlineLvl w:val="1"/>
    </w:pPr>
    <w:rPr>
      <w:rFonts w:ascii="Times New Roman" w:hAnsi="Times New Roman"/>
      <w:kern w:val="0"/>
      <w:sz w:val="24"/>
      <w:szCs w:val="20"/>
      <w:lang w:eastAsia="en-US"/>
    </w:rPr>
  </w:style>
  <w:style w:type="paragraph" w:customStyle="1" w:styleId="MD1L3">
    <w:name w:val="MD1_L3"/>
    <w:basedOn w:val="a1"/>
    <w:qFormat/>
    <w:pPr>
      <w:widowControl/>
      <w:tabs>
        <w:tab w:val="left" w:pos="1440"/>
      </w:tabs>
      <w:spacing w:after="240"/>
      <w:ind w:left="1440" w:hanging="720"/>
      <w:outlineLvl w:val="2"/>
    </w:pPr>
    <w:rPr>
      <w:rFonts w:ascii="Times New Roman" w:hAnsi="Times New Roman"/>
      <w:kern w:val="0"/>
      <w:sz w:val="24"/>
      <w:szCs w:val="20"/>
      <w:lang w:eastAsia="en-US"/>
    </w:rPr>
  </w:style>
  <w:style w:type="paragraph" w:customStyle="1" w:styleId="MD1L4">
    <w:name w:val="MD1_L4"/>
    <w:basedOn w:val="a1"/>
    <w:qFormat/>
    <w:pPr>
      <w:widowControl/>
      <w:tabs>
        <w:tab w:val="left" w:pos="2160"/>
      </w:tabs>
      <w:spacing w:after="240"/>
      <w:ind w:left="2160" w:hanging="720"/>
      <w:outlineLvl w:val="3"/>
    </w:pPr>
    <w:rPr>
      <w:rFonts w:ascii="Times New Roman" w:hAnsi="Times New Roman"/>
      <w:kern w:val="0"/>
      <w:sz w:val="24"/>
      <w:szCs w:val="20"/>
      <w:lang w:eastAsia="en-US"/>
    </w:rPr>
  </w:style>
  <w:style w:type="paragraph" w:customStyle="1" w:styleId="MD1L5">
    <w:name w:val="MD1_L5"/>
    <w:basedOn w:val="a1"/>
    <w:qFormat/>
    <w:pPr>
      <w:widowControl/>
      <w:tabs>
        <w:tab w:val="left" w:pos="2880"/>
      </w:tabs>
      <w:spacing w:after="240"/>
      <w:ind w:left="2880" w:hanging="720"/>
      <w:outlineLvl w:val="4"/>
    </w:pPr>
    <w:rPr>
      <w:rFonts w:ascii="Times New Roman" w:hAnsi="Times New Roman"/>
      <w:kern w:val="0"/>
      <w:sz w:val="24"/>
      <w:szCs w:val="20"/>
      <w:lang w:eastAsia="en-US"/>
    </w:rPr>
  </w:style>
  <w:style w:type="paragraph" w:customStyle="1" w:styleId="MD1L6">
    <w:name w:val="MD1_L6"/>
    <w:basedOn w:val="a1"/>
    <w:qFormat/>
    <w:pPr>
      <w:widowControl/>
      <w:numPr>
        <w:numId w:val="3"/>
      </w:numPr>
      <w:tabs>
        <w:tab w:val="clear" w:pos="1050"/>
        <w:tab w:val="left" w:pos="720"/>
      </w:tabs>
      <w:spacing w:after="240"/>
      <w:ind w:left="0" w:firstLine="0"/>
      <w:outlineLvl w:val="5"/>
    </w:pPr>
    <w:rPr>
      <w:rFonts w:ascii="Times New Roman" w:hAnsi="Times New Roman"/>
      <w:kern w:val="0"/>
      <w:sz w:val="24"/>
      <w:szCs w:val="20"/>
      <w:lang w:eastAsia="en-US"/>
    </w:rPr>
  </w:style>
  <w:style w:type="paragraph" w:customStyle="1" w:styleId="MD1L7">
    <w:name w:val="MD1_L7"/>
    <w:basedOn w:val="a1"/>
    <w:qFormat/>
    <w:pPr>
      <w:widowControl/>
      <w:tabs>
        <w:tab w:val="left" w:pos="1440"/>
      </w:tabs>
      <w:spacing w:after="240"/>
      <w:ind w:left="1440" w:hanging="720"/>
      <w:outlineLvl w:val="6"/>
    </w:pPr>
    <w:rPr>
      <w:rFonts w:ascii="Times New Roman" w:hAnsi="Times New Roman"/>
      <w:kern w:val="0"/>
      <w:sz w:val="24"/>
      <w:szCs w:val="20"/>
      <w:lang w:eastAsia="en-US"/>
    </w:rPr>
  </w:style>
  <w:style w:type="paragraph" w:customStyle="1" w:styleId="MD1L8">
    <w:name w:val="MD1_L8"/>
    <w:basedOn w:val="a1"/>
    <w:qFormat/>
    <w:pPr>
      <w:widowControl/>
      <w:tabs>
        <w:tab w:val="left" w:pos="2160"/>
      </w:tabs>
      <w:spacing w:after="240"/>
      <w:ind w:left="2160" w:hanging="720"/>
      <w:outlineLvl w:val="7"/>
    </w:pPr>
    <w:rPr>
      <w:rFonts w:ascii="Times New Roman" w:hAnsi="Times New Roman"/>
      <w:kern w:val="0"/>
      <w:sz w:val="24"/>
      <w:szCs w:val="20"/>
      <w:lang w:eastAsia="en-US"/>
    </w:rPr>
  </w:style>
  <w:style w:type="paragraph" w:customStyle="1" w:styleId="MD1L9">
    <w:name w:val="MD1_L9"/>
    <w:basedOn w:val="a1"/>
    <w:qFormat/>
    <w:pPr>
      <w:widowControl/>
      <w:spacing w:after="240"/>
      <w:ind w:left="4420" w:hanging="420"/>
      <w:outlineLvl w:val="8"/>
    </w:pPr>
    <w:rPr>
      <w:rFonts w:ascii="Times New Roman" w:hAnsi="Times New Roman"/>
      <w:kern w:val="0"/>
      <w:sz w:val="24"/>
      <w:szCs w:val="20"/>
      <w:lang w:eastAsia="en-US"/>
    </w:rPr>
  </w:style>
  <w:style w:type="character" w:customStyle="1" w:styleId="google-src-text1">
    <w:name w:val="google-src-text1"/>
    <w:qFormat/>
    <w:rPr>
      <w:vanish/>
    </w:rPr>
  </w:style>
  <w:style w:type="paragraph" w:customStyle="1" w:styleId="aff8">
    <w:name w:val="表题"/>
    <w:basedOn w:val="a1"/>
    <w:qFormat/>
    <w:pPr>
      <w:autoSpaceDE w:val="0"/>
      <w:autoSpaceDN w:val="0"/>
      <w:adjustRightInd w:val="0"/>
      <w:spacing w:beforeLines="50"/>
      <w:jc w:val="center"/>
      <w:textAlignment w:val="baseline"/>
    </w:pPr>
    <w:rPr>
      <w:rFonts w:ascii="黑体" w:eastAsia="黑体" w:hAnsi="Times New Roman"/>
      <w:kern w:val="0"/>
      <w:sz w:val="18"/>
      <w:szCs w:val="20"/>
    </w:rPr>
  </w:style>
  <w:style w:type="paragraph" w:customStyle="1" w:styleId="aff9">
    <w:name w:val="表文字"/>
    <w:basedOn w:val="a2"/>
    <w:qFormat/>
    <w:pPr>
      <w:autoSpaceDE w:val="0"/>
      <w:autoSpaceDN w:val="0"/>
      <w:ind w:firstLineChars="0" w:firstLine="0"/>
      <w:jc w:val="center"/>
    </w:pPr>
    <w:rPr>
      <w:kern w:val="21"/>
      <w:sz w:val="15"/>
    </w:rPr>
  </w:style>
  <w:style w:type="paragraph" w:customStyle="1" w:styleId="affa">
    <w:name w:val="参考文献"/>
    <w:basedOn w:val="a2"/>
    <w:qFormat/>
    <w:pPr>
      <w:autoSpaceDE w:val="0"/>
      <w:autoSpaceDN w:val="0"/>
      <w:spacing w:line="270" w:lineRule="exact"/>
      <w:ind w:firstLine="360"/>
    </w:pPr>
    <w:rPr>
      <w:kern w:val="21"/>
      <w:sz w:val="18"/>
    </w:rPr>
  </w:style>
  <w:style w:type="paragraph" w:customStyle="1" w:styleId="affb">
    <w:name w:val="公式"/>
    <w:basedOn w:val="a2"/>
    <w:qFormat/>
    <w:pPr>
      <w:autoSpaceDE w:val="0"/>
      <w:autoSpaceDN w:val="0"/>
      <w:adjustRightInd w:val="0"/>
      <w:ind w:firstLineChars="0" w:firstLine="0"/>
      <w:jc w:val="center"/>
      <w:textAlignment w:val="baseline"/>
    </w:pPr>
    <w:rPr>
      <w:rFonts w:ascii="宋体"/>
      <w:kern w:val="0"/>
      <w:sz w:val="24"/>
      <w:szCs w:val="20"/>
    </w:rPr>
  </w:style>
  <w:style w:type="paragraph" w:customStyle="1" w:styleId="affc">
    <w:name w:val="图"/>
    <w:basedOn w:val="a2"/>
    <w:qFormat/>
    <w:pPr>
      <w:autoSpaceDE w:val="0"/>
      <w:autoSpaceDN w:val="0"/>
      <w:spacing w:beforeLines="50"/>
      <w:ind w:firstLineChars="0" w:firstLine="0"/>
      <w:jc w:val="center"/>
    </w:pPr>
    <w:rPr>
      <w:kern w:val="21"/>
      <w:sz w:val="24"/>
    </w:rPr>
  </w:style>
  <w:style w:type="paragraph" w:customStyle="1" w:styleId="affd">
    <w:name w:val="图题"/>
    <w:basedOn w:val="a2"/>
    <w:qFormat/>
    <w:pPr>
      <w:autoSpaceDE w:val="0"/>
      <w:autoSpaceDN w:val="0"/>
      <w:spacing w:afterLines="50"/>
      <w:ind w:firstLineChars="0" w:firstLine="0"/>
      <w:jc w:val="center"/>
    </w:pPr>
    <w:rPr>
      <w:kern w:val="21"/>
      <w:sz w:val="18"/>
    </w:rPr>
  </w:style>
  <w:style w:type="paragraph" w:customStyle="1" w:styleId="affe">
    <w:name w:val="图注"/>
    <w:basedOn w:val="a1"/>
    <w:qFormat/>
    <w:pPr>
      <w:autoSpaceDE w:val="0"/>
      <w:autoSpaceDN w:val="0"/>
      <w:adjustRightInd w:val="0"/>
      <w:spacing w:afterLines="50"/>
      <w:jc w:val="center"/>
      <w:textAlignment w:val="baseline"/>
    </w:pPr>
    <w:rPr>
      <w:rFonts w:ascii="Times New Roman" w:hAnsi="Times New Roman"/>
      <w:kern w:val="0"/>
      <w:sz w:val="18"/>
      <w:szCs w:val="20"/>
    </w:rPr>
  </w:style>
  <w:style w:type="paragraph" w:customStyle="1" w:styleId="afff">
    <w:name w:val="编号列表"/>
    <w:basedOn w:val="a2"/>
    <w:qFormat/>
    <w:pPr>
      <w:autoSpaceDE w:val="0"/>
      <w:autoSpaceDN w:val="0"/>
      <w:adjustRightInd w:val="0"/>
      <w:spacing w:line="360" w:lineRule="auto"/>
      <w:ind w:left="880" w:firstLineChars="0" w:firstLine="0"/>
      <w:textAlignment w:val="baseline"/>
    </w:pPr>
    <w:rPr>
      <w:rFonts w:ascii="宋体" w:hAnsi="宋体"/>
      <w:kern w:val="0"/>
      <w:sz w:val="24"/>
      <w:szCs w:val="20"/>
    </w:rPr>
  </w:style>
  <w:style w:type="paragraph" w:customStyle="1" w:styleId="afff0">
    <w:name w:val="表格文字"/>
    <w:next w:val="a1"/>
    <w:qFormat/>
    <w:pPr>
      <w:adjustRightInd w:val="0"/>
      <w:snapToGrid w:val="0"/>
      <w:jc w:val="center"/>
    </w:pPr>
    <w:rPr>
      <w:snapToGrid w:val="0"/>
      <w:kern w:val="21"/>
      <w:sz w:val="21"/>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szCs w:val="20"/>
      <w:lang w:eastAsia="en-US"/>
    </w:rPr>
  </w:style>
  <w:style w:type="paragraph" w:customStyle="1" w:styleId="TableMedium">
    <w:name w:val="Table_Medium"/>
    <w:basedOn w:val="a1"/>
    <w:qFormat/>
    <w:pPr>
      <w:widowControl/>
      <w:spacing w:before="40" w:after="40"/>
      <w:jc w:val="left"/>
    </w:pPr>
    <w:rPr>
      <w:rFonts w:ascii="Futura Bk" w:hAnsi="Futura Bk"/>
      <w:kern w:val="0"/>
      <w:sz w:val="18"/>
      <w:szCs w:val="20"/>
      <w:lang w:eastAsia="en-US"/>
    </w:rPr>
  </w:style>
  <w:style w:type="paragraph" w:customStyle="1" w:styleId="afff1">
    <w:name w:val="文档正文"/>
    <w:basedOn w:val="a1"/>
    <w:qFormat/>
    <w:pPr>
      <w:spacing w:line="300" w:lineRule="auto"/>
      <w:ind w:firstLineChars="200" w:firstLine="420"/>
    </w:pPr>
    <w:rPr>
      <w:rFonts w:ascii="Times New Roman" w:hAnsi="Times New Roman"/>
      <w:bCs/>
      <w:szCs w:val="21"/>
    </w:rPr>
  </w:style>
  <w:style w:type="character" w:customStyle="1" w:styleId="2Char2">
    <w:name w:val="正文首行缩进 2 Char"/>
    <w:link w:val="24"/>
    <w:qFormat/>
    <w:rPr>
      <w:rFonts w:ascii="Times New Roman" w:eastAsia="宋体" w:hAnsi="Times New Roman" w:cs="Times New Roman"/>
      <w:kern w:val="0"/>
      <w:sz w:val="24"/>
      <w:szCs w:val="20"/>
    </w:rPr>
  </w:style>
  <w:style w:type="character" w:customStyle="1" w:styleId="2Char1">
    <w:name w:val="正文文本 2 Char"/>
    <w:link w:val="23"/>
    <w:qFormat/>
    <w:rPr>
      <w:rFonts w:ascii="Times New Roman" w:eastAsia="宋体" w:hAnsi="Times New Roman" w:cs="Times New Roman"/>
      <w:szCs w:val="24"/>
    </w:rPr>
  </w:style>
  <w:style w:type="paragraph" w:customStyle="1" w:styleId="Char1CharCharChar">
    <w:name w:val="Char1 Char Char Char"/>
    <w:basedOn w:val="a1"/>
    <w:qFormat/>
    <w:rPr>
      <w:rFonts w:ascii="Tahoma" w:hAnsi="Tahoma"/>
      <w:sz w:val="24"/>
      <w:szCs w:val="20"/>
    </w:rPr>
  </w:style>
  <w:style w:type="paragraph" w:customStyle="1" w:styleId="13">
    <w:name w:val="样式1"/>
    <w:basedOn w:val="a1"/>
    <w:link w:val="1Char0"/>
    <w:qFormat/>
    <w:pPr>
      <w:spacing w:before="40" w:after="40" w:line="300" w:lineRule="auto"/>
      <w:ind w:leftChars="150" w:left="150"/>
    </w:pPr>
    <w:rPr>
      <w:rFonts w:ascii="Times New Roman" w:hAnsi="Times New Roman"/>
      <w:szCs w:val="21"/>
    </w:rPr>
  </w:style>
  <w:style w:type="character" w:customStyle="1" w:styleId="1Char0">
    <w:name w:val="样式1 Char"/>
    <w:link w:val="13"/>
    <w:qFormat/>
    <w:rPr>
      <w:rFonts w:ascii="Times New Roman" w:eastAsia="宋体" w:hAnsi="Times New Roman" w:cs="Times New Roman"/>
      <w:szCs w:val="21"/>
    </w:rPr>
  </w:style>
  <w:style w:type="paragraph" w:customStyle="1" w:styleId="26">
    <w:name w:val="样式 普通正文 + 首行缩进:  2 字符"/>
    <w:basedOn w:val="a1"/>
    <w:link w:val="2Char3"/>
    <w:qFormat/>
    <w:pPr>
      <w:spacing w:line="360" w:lineRule="auto"/>
      <w:ind w:firstLineChars="200" w:firstLine="480"/>
    </w:pPr>
    <w:rPr>
      <w:rFonts w:ascii="Times New Roman" w:hAnsi="Times New Roman" w:cs="宋体"/>
      <w:sz w:val="24"/>
      <w:szCs w:val="20"/>
    </w:rPr>
  </w:style>
  <w:style w:type="character" w:customStyle="1" w:styleId="2Char3">
    <w:name w:val="样式 普通正文 + 首行缩进:  2 字符 Char"/>
    <w:link w:val="26"/>
    <w:qFormat/>
    <w:rPr>
      <w:rFonts w:ascii="Times New Roman" w:eastAsia="宋体" w:hAnsi="Times New Roman" w:cs="宋体"/>
      <w:sz w:val="24"/>
      <w:szCs w:val="20"/>
    </w:rPr>
  </w:style>
  <w:style w:type="paragraph" w:customStyle="1" w:styleId="210">
    <w:name w:val="样式 首行缩进:  2 字符1"/>
    <w:basedOn w:val="a1"/>
    <w:link w:val="21Char"/>
    <w:qFormat/>
    <w:pPr>
      <w:autoSpaceDE w:val="0"/>
      <w:autoSpaceDN w:val="0"/>
      <w:adjustRightInd w:val="0"/>
      <w:spacing w:line="360" w:lineRule="auto"/>
      <w:ind w:firstLineChars="200" w:firstLine="200"/>
      <w:textAlignment w:val="baseline"/>
    </w:pPr>
    <w:rPr>
      <w:rFonts w:ascii="Times New Roman" w:hAnsi="Times New Roman" w:cs="宋体"/>
      <w:kern w:val="0"/>
      <w:sz w:val="24"/>
      <w:szCs w:val="20"/>
    </w:rPr>
  </w:style>
  <w:style w:type="character" w:customStyle="1" w:styleId="21Char">
    <w:name w:val="样式 首行缩进:  2 字符1 Char"/>
    <w:link w:val="210"/>
    <w:qFormat/>
    <w:rPr>
      <w:rFonts w:ascii="Times New Roman" w:eastAsia="宋体" w:hAnsi="Times New Roman" w:cs="宋体"/>
      <w:kern w:val="0"/>
      <w:sz w:val="24"/>
      <w:szCs w:val="20"/>
    </w:rPr>
  </w:style>
  <w:style w:type="paragraph" w:customStyle="1" w:styleId="afff2">
    <w:name w:val="普通正文"/>
    <w:basedOn w:val="a1"/>
    <w:link w:val="Charf3"/>
    <w:qFormat/>
    <w:pPr>
      <w:spacing w:line="360" w:lineRule="auto"/>
      <w:ind w:firstLineChars="200" w:firstLine="200"/>
    </w:pPr>
    <w:rPr>
      <w:rFonts w:ascii="Times New Roman" w:hAnsi="Times New Roman"/>
      <w:sz w:val="24"/>
      <w:szCs w:val="28"/>
    </w:rPr>
  </w:style>
  <w:style w:type="character" w:customStyle="1" w:styleId="Charf3">
    <w:name w:val="普通正文 Char"/>
    <w:link w:val="afff2"/>
    <w:qFormat/>
    <w:rPr>
      <w:rFonts w:ascii="Times New Roman" w:eastAsia="宋体" w:hAnsi="Times New Roman" w:cs="Times New Roman"/>
      <w:sz w:val="24"/>
      <w:szCs w:val="28"/>
    </w:rPr>
  </w:style>
  <w:style w:type="character" w:customStyle="1" w:styleId="CharChar">
    <w:name w:val="Char Char"/>
    <w:qFormat/>
    <w:locked/>
    <w:rPr>
      <w:rFonts w:ascii="Arial" w:eastAsia="黑体" w:hAnsi="Arial"/>
      <w:kern w:val="2"/>
      <w:sz w:val="32"/>
      <w:szCs w:val="32"/>
      <w:lang w:val="en-US" w:eastAsia="zh-CN" w:bidi="ar-SA"/>
    </w:rPr>
  </w:style>
  <w:style w:type="paragraph" w:customStyle="1" w:styleId="14">
    <w:name w:val="列出段落1"/>
    <w:basedOn w:val="a1"/>
    <w:qFormat/>
    <w:pPr>
      <w:ind w:firstLineChars="200" w:firstLine="420"/>
    </w:pPr>
    <w:rPr>
      <w:rFonts w:ascii="Arial" w:hAnsi="Arial" w:cs="Arial"/>
      <w:b/>
      <w:bCs/>
      <w:color w:val="FFFFFF"/>
      <w:szCs w:val="21"/>
    </w:rPr>
  </w:style>
  <w:style w:type="paragraph" w:customStyle="1" w:styleId="Style1">
    <w:name w:val="_Style 1"/>
    <w:basedOn w:val="a1"/>
    <w:qFormat/>
    <w:rPr>
      <w:rFonts w:ascii="Times New Roman" w:hAnsi="Times New Roman"/>
      <w:szCs w:val="20"/>
    </w:rPr>
  </w:style>
  <w:style w:type="character" w:customStyle="1" w:styleId="h1Char">
    <w:name w:val="h1 Char"/>
    <w:qFormat/>
    <w:rPr>
      <w:b/>
      <w:bCs/>
      <w:kern w:val="44"/>
      <w:sz w:val="44"/>
      <w:szCs w:val="44"/>
    </w:rPr>
  </w:style>
  <w:style w:type="character" w:customStyle="1" w:styleId="h2Char">
    <w:name w:val="h2 Char"/>
    <w:qFormat/>
    <w:rPr>
      <w:rFonts w:ascii="Arial" w:eastAsia="黑体" w:hAnsi="Arial"/>
      <w:b/>
      <w:bCs/>
      <w:kern w:val="16"/>
      <w:sz w:val="32"/>
      <w:szCs w:val="32"/>
    </w:rPr>
  </w:style>
  <w:style w:type="character" w:customStyle="1" w:styleId="Charf4">
    <w:name w:val="正文（首行缩进两字） Char"/>
    <w:qFormat/>
    <w:rPr>
      <w:kern w:val="2"/>
      <w:sz w:val="24"/>
    </w:rPr>
  </w:style>
  <w:style w:type="character" w:customStyle="1" w:styleId="Char0">
    <w:name w:val="文档结构图 Char"/>
    <w:link w:val="a8"/>
    <w:qFormat/>
    <w:rPr>
      <w:rFonts w:ascii="Times New Roman" w:eastAsia="宋体" w:hAnsi="Times New Roman" w:cs="Times New Roman"/>
      <w:sz w:val="24"/>
      <w:szCs w:val="20"/>
      <w:shd w:val="clear" w:color="auto" w:fill="000080"/>
    </w:rPr>
  </w:style>
  <w:style w:type="paragraph" w:customStyle="1" w:styleId="bordersegment">
    <w:name w:val="bordersegment"/>
    <w:basedOn w:val="a1"/>
    <w:qFormat/>
    <w:pPr>
      <w:widowControl/>
      <w:spacing w:before="100" w:beforeAutospacing="1" w:after="100" w:afterAutospacing="1"/>
      <w:jc w:val="left"/>
    </w:pPr>
    <w:rPr>
      <w:rFonts w:ascii="宋体" w:hAnsi="宋体" w:cs="宋体"/>
      <w:kern w:val="0"/>
      <w:sz w:val="24"/>
      <w:szCs w:val="24"/>
    </w:rPr>
  </w:style>
  <w:style w:type="paragraph" w:customStyle="1" w:styleId="BlockLabel">
    <w:name w:val="Block Label"/>
    <w:basedOn w:val="a1"/>
    <w:next w:val="a1"/>
    <w:qFormat/>
    <w:pPr>
      <w:overflowPunct w:val="0"/>
      <w:autoSpaceDE w:val="0"/>
      <w:autoSpaceDN w:val="0"/>
      <w:adjustRightInd w:val="0"/>
      <w:spacing w:after="120"/>
      <w:jc w:val="left"/>
      <w:textAlignment w:val="baseline"/>
    </w:pPr>
    <w:rPr>
      <w:rFonts w:ascii="Times New Roman" w:hAnsi="Times New Roman"/>
      <w:b/>
      <w:kern w:val="0"/>
      <w:sz w:val="22"/>
      <w:szCs w:val="20"/>
      <w:lang w:val="en-NZ"/>
    </w:rPr>
  </w:style>
  <w:style w:type="paragraph" w:customStyle="1" w:styleId="afff3">
    <w:name w:val="封面保密"/>
    <w:basedOn w:val="a1"/>
    <w:next w:val="a1"/>
    <w:qFormat/>
    <w:rPr>
      <w:rFonts w:ascii="Tahoma" w:hAnsi="Tahoma"/>
      <w:i/>
      <w:szCs w:val="24"/>
    </w:rPr>
  </w:style>
  <w:style w:type="paragraph" w:customStyle="1" w:styleId="afff4">
    <w:name w:val="表格首行"/>
    <w:basedOn w:val="a1"/>
    <w:qFormat/>
    <w:pPr>
      <w:jc w:val="center"/>
    </w:pPr>
    <w:rPr>
      <w:rFonts w:ascii="宋体" w:hAnsi="宋体"/>
      <w:szCs w:val="24"/>
    </w:rPr>
  </w:style>
  <w:style w:type="paragraph" w:customStyle="1" w:styleId="afff5">
    <w:name w:val="表格正文"/>
    <w:basedOn w:val="a1"/>
    <w:qFormat/>
    <w:pPr>
      <w:snapToGrid w:val="0"/>
      <w:spacing w:line="300" w:lineRule="auto"/>
    </w:pPr>
    <w:rPr>
      <w:rFonts w:ascii="Times New Roman" w:hAnsi="Times New Roman"/>
      <w:szCs w:val="24"/>
    </w:rPr>
  </w:style>
  <w:style w:type="paragraph" w:customStyle="1" w:styleId="tablebody">
    <w:name w:val="tablebody"/>
    <w:basedOn w:val="a1"/>
    <w:qFormat/>
    <w:pPr>
      <w:widowControl/>
      <w:overflowPunct w:val="0"/>
      <w:autoSpaceDE w:val="0"/>
      <w:autoSpaceDN w:val="0"/>
      <w:adjustRightInd w:val="0"/>
      <w:spacing w:before="40" w:after="20" w:line="216" w:lineRule="auto"/>
      <w:jc w:val="left"/>
      <w:textAlignment w:val="baseline"/>
    </w:pPr>
    <w:rPr>
      <w:rFonts w:ascii="Gill Sans" w:hAnsi="Gill Sans"/>
      <w:kern w:val="0"/>
      <w:sz w:val="22"/>
      <w:szCs w:val="20"/>
      <w:lang w:val="en-GB"/>
    </w:rPr>
  </w:style>
  <w:style w:type="paragraph" w:customStyle="1" w:styleId="afff6">
    <w:name w:val="文章标题"/>
    <w:basedOn w:val="a1"/>
    <w:next w:val="a1"/>
    <w:qFormat/>
    <w:pPr>
      <w:spacing w:beforeLines="150" w:afterLines="250"/>
      <w:jc w:val="center"/>
    </w:pPr>
    <w:rPr>
      <w:rFonts w:ascii="Tahoma" w:eastAsia="黑体" w:hAnsi="Tahoma" w:cs="Tahoma"/>
      <w:sz w:val="44"/>
      <w:szCs w:val="44"/>
    </w:rPr>
  </w:style>
  <w:style w:type="paragraph" w:customStyle="1" w:styleId="afff7">
    <w:name w:val="封面横线"/>
    <w:basedOn w:val="a1"/>
    <w:next w:val="a1"/>
    <w:qFormat/>
    <w:pPr>
      <w:pBdr>
        <w:bottom w:val="single" w:sz="12" w:space="1" w:color="auto"/>
      </w:pBdr>
    </w:pPr>
    <w:rPr>
      <w:rFonts w:ascii="Times New Roman" w:hAnsi="Times New Roman" w:cs="宋体"/>
      <w:szCs w:val="20"/>
    </w:rPr>
  </w:style>
  <w:style w:type="paragraph" w:customStyle="1" w:styleId="afff8">
    <w:name w:val="封面作者"/>
    <w:basedOn w:val="a1"/>
    <w:next w:val="a1"/>
    <w:qFormat/>
    <w:pPr>
      <w:jc w:val="right"/>
    </w:pPr>
    <w:rPr>
      <w:rFonts w:ascii="Arial" w:hAnsi="Arial"/>
      <w:b/>
      <w:sz w:val="32"/>
      <w:szCs w:val="24"/>
    </w:rPr>
  </w:style>
  <w:style w:type="paragraph" w:customStyle="1" w:styleId="afff9">
    <w:name w:val="封面版本日期"/>
    <w:basedOn w:val="a1"/>
    <w:next w:val="a1"/>
    <w:qFormat/>
    <w:pPr>
      <w:jc w:val="right"/>
    </w:pPr>
    <w:rPr>
      <w:rFonts w:ascii="Tahoma" w:eastAsia="黑体" w:hAnsi="Tahoma"/>
      <w:sz w:val="24"/>
      <w:szCs w:val="24"/>
    </w:rPr>
  </w:style>
  <w:style w:type="paragraph" w:customStyle="1" w:styleId="Tabletext">
    <w:name w:val="Tabletext"/>
    <w:basedOn w:val="a1"/>
    <w:qFormat/>
    <w:pPr>
      <w:keepLines/>
      <w:spacing w:after="120" w:line="240" w:lineRule="atLeast"/>
      <w:jc w:val="left"/>
    </w:pPr>
    <w:rPr>
      <w:rFonts w:ascii="宋体" w:hAnsi="Times New Roman"/>
      <w:snapToGrid w:val="0"/>
      <w:kern w:val="0"/>
      <w:sz w:val="20"/>
      <w:szCs w:val="20"/>
    </w:rPr>
  </w:style>
  <w:style w:type="paragraph" w:customStyle="1" w:styleId="CharChar1CharCharCharCharCharChar">
    <w:name w:val="Char Char1 Char Char Char Char Char Char"/>
    <w:basedOn w:val="a1"/>
    <w:qFormat/>
    <w:pPr>
      <w:widowControl/>
      <w:spacing w:after="160" w:line="240" w:lineRule="exact"/>
      <w:jc w:val="left"/>
    </w:pPr>
    <w:rPr>
      <w:rFonts w:ascii="Verdana" w:hAnsi="Verdana"/>
      <w:kern w:val="0"/>
      <w:sz w:val="20"/>
      <w:szCs w:val="20"/>
      <w:lang w:eastAsia="en-US"/>
    </w:rPr>
  </w:style>
  <w:style w:type="paragraph" w:customStyle="1" w:styleId="afffa">
    <w:name w:val="表头"/>
    <w:basedOn w:val="a2"/>
    <w:qFormat/>
    <w:pPr>
      <w:adjustRightInd w:val="0"/>
      <w:snapToGrid w:val="0"/>
      <w:ind w:firstLineChars="0" w:firstLine="0"/>
      <w:jc w:val="center"/>
    </w:pPr>
    <w:rPr>
      <w:rFonts w:ascii="Tahoma" w:hAnsi="Tahoma"/>
      <w:b/>
      <w:bCs/>
    </w:rPr>
  </w:style>
  <w:style w:type="paragraph" w:customStyle="1" w:styleId="afffb">
    <w:name w:val="表文"/>
    <w:basedOn w:val="a2"/>
    <w:qFormat/>
    <w:pPr>
      <w:adjustRightInd w:val="0"/>
      <w:snapToGrid w:val="0"/>
      <w:ind w:firstLineChars="0" w:firstLine="0"/>
    </w:pPr>
    <w:rPr>
      <w:rFonts w:ascii="Tahoma" w:hAnsi="Tahoma"/>
    </w:rPr>
  </w:style>
  <w:style w:type="paragraph" w:customStyle="1" w:styleId="Char2CharCharChar">
    <w:name w:val="Char2 Char Char Char"/>
    <w:basedOn w:val="a1"/>
    <w:qFormat/>
    <w:pPr>
      <w:widowControl/>
      <w:spacing w:after="160" w:line="240" w:lineRule="exact"/>
      <w:jc w:val="left"/>
    </w:pPr>
    <w:rPr>
      <w:rFonts w:ascii="Verdana" w:hAnsi="Verdana"/>
      <w:kern w:val="0"/>
      <w:sz w:val="20"/>
      <w:szCs w:val="20"/>
      <w:lang w:eastAsia="en-US"/>
    </w:rPr>
  </w:style>
  <w:style w:type="paragraph" w:customStyle="1" w:styleId="CharChar1CharCharCharCharChar">
    <w:name w:val="Char Char1 Char Char Char Char Char"/>
    <w:basedOn w:val="a1"/>
    <w:qFormat/>
    <w:rPr>
      <w:rFonts w:ascii="Tahoma" w:hAnsi="Tahoma"/>
      <w:sz w:val="24"/>
      <w:szCs w:val="20"/>
    </w:rPr>
  </w:style>
  <w:style w:type="paragraph" w:customStyle="1" w:styleId="MMTopic1">
    <w:name w:val="MM Topic 1"/>
    <w:basedOn w:val="1"/>
    <w:link w:val="MMTopic1Char"/>
    <w:qFormat/>
    <w:pPr>
      <w:ind w:left="420" w:hanging="420"/>
    </w:pPr>
    <w:rPr>
      <w:rFonts w:ascii="Calibri" w:hAnsi="Calibri"/>
    </w:rPr>
  </w:style>
  <w:style w:type="character" w:customStyle="1" w:styleId="MMTopic1Char">
    <w:name w:val="MM Topic 1 Char"/>
    <w:link w:val="MMTopic1"/>
    <w:qFormat/>
    <w:rPr>
      <w:rFonts w:ascii="Calibri" w:eastAsia="宋体" w:hAnsi="Calibri" w:cs="Times New Roman"/>
      <w:b/>
      <w:bCs/>
      <w:kern w:val="44"/>
      <w:sz w:val="44"/>
      <w:szCs w:val="44"/>
    </w:rPr>
  </w:style>
  <w:style w:type="paragraph" w:customStyle="1" w:styleId="MMTopic2">
    <w:name w:val="MM Topic 2"/>
    <w:basedOn w:val="2"/>
    <w:link w:val="MMTopic2Char"/>
    <w:qFormat/>
    <w:pPr>
      <w:tabs>
        <w:tab w:val="clear" w:pos="567"/>
      </w:tabs>
      <w:ind w:left="840" w:hanging="420"/>
    </w:pPr>
    <w:rPr>
      <w:rFonts w:ascii="Cambria" w:eastAsia="宋体" w:hAnsi="Cambria"/>
    </w:rPr>
  </w:style>
  <w:style w:type="character" w:customStyle="1" w:styleId="MMTopic2Char">
    <w:name w:val="MM Topic 2 Char"/>
    <w:link w:val="MMTopic2"/>
    <w:qFormat/>
    <w:rPr>
      <w:rFonts w:ascii="Cambria" w:eastAsia="宋体" w:hAnsi="Cambria" w:cs="Times New Roman"/>
      <w:b/>
      <w:bCs/>
      <w:sz w:val="32"/>
      <w:szCs w:val="32"/>
    </w:rPr>
  </w:style>
  <w:style w:type="paragraph" w:customStyle="1" w:styleId="MMTopic3">
    <w:name w:val="MM Topic 3"/>
    <w:basedOn w:val="30"/>
    <w:link w:val="MMTopic3Char"/>
    <w:qFormat/>
    <w:pPr>
      <w:numPr>
        <w:numId w:val="4"/>
      </w:numPr>
    </w:pPr>
    <w:rPr>
      <w:rFonts w:ascii="Calibri" w:hAnsi="Calibri"/>
    </w:rPr>
  </w:style>
  <w:style w:type="character" w:customStyle="1" w:styleId="MMTopic3Char">
    <w:name w:val="MM Topic 3 Char"/>
    <w:link w:val="MMTopic3"/>
    <w:qFormat/>
    <w:rPr>
      <w:b/>
      <w:bCs/>
      <w:kern w:val="2"/>
      <w:sz w:val="32"/>
      <w:szCs w:val="32"/>
    </w:rPr>
  </w:style>
  <w:style w:type="paragraph" w:customStyle="1" w:styleId="a">
    <w:name w:val="标准正文"/>
    <w:qFormat/>
    <w:pPr>
      <w:numPr>
        <w:ilvl w:val="1"/>
        <w:numId w:val="4"/>
      </w:numPr>
      <w:spacing w:line="360" w:lineRule="auto"/>
      <w:ind w:firstLineChars="200" w:firstLine="200"/>
    </w:pPr>
    <w:rPr>
      <w:rFonts w:ascii="宋体" w:eastAsia="仿宋_GB2312" w:hAnsi="宋体" w:cs="Tahoma" w:hint="eastAsia"/>
      <w:kern w:val="2"/>
      <w:sz w:val="28"/>
      <w:szCs w:val="21"/>
    </w:rPr>
  </w:style>
  <w:style w:type="paragraph" w:customStyle="1" w:styleId="Copyright">
    <w:name w:val="Copyright"/>
    <w:qFormat/>
    <w:pPr>
      <w:keepNext/>
      <w:keepLines/>
      <w:jc w:val="both"/>
    </w:pPr>
    <w:rPr>
      <w:rFonts w:ascii="Garamond" w:hAnsi="Garamond"/>
      <w:lang w:val="en-AU" w:eastAsia="en-US"/>
    </w:rPr>
  </w:style>
  <w:style w:type="paragraph" w:customStyle="1" w:styleId="a0">
    <w:name w:val="小标题"/>
    <w:basedOn w:val="a1"/>
    <w:next w:val="a2"/>
    <w:qFormat/>
    <w:pPr>
      <w:numPr>
        <w:ilvl w:val="2"/>
        <w:numId w:val="4"/>
      </w:numPr>
      <w:tabs>
        <w:tab w:val="left" w:pos="374"/>
      </w:tabs>
      <w:spacing w:afterLines="50" w:line="360" w:lineRule="auto"/>
      <w:ind w:left="374" w:hanging="374"/>
    </w:pPr>
    <w:rPr>
      <w:rFonts w:ascii="Times New Roman" w:hAnsi="Times New Roman"/>
      <w:b/>
      <w:szCs w:val="24"/>
    </w:rPr>
  </w:style>
  <w:style w:type="paragraph" w:customStyle="1" w:styleId="Char10">
    <w:name w:val="Char1"/>
    <w:basedOn w:val="a1"/>
    <w:qFormat/>
    <w:rPr>
      <w:rFonts w:ascii="Tahoma" w:hAnsi="Tahoma"/>
      <w:sz w:val="24"/>
      <w:szCs w:val="20"/>
    </w:rPr>
  </w:style>
  <w:style w:type="paragraph" w:customStyle="1" w:styleId="CharCharCharCharCharChar">
    <w:name w:val="Char Char Char Char Char Char"/>
    <w:basedOn w:val="a1"/>
    <w:qFormat/>
    <w:rPr>
      <w:rFonts w:ascii="Tahoma" w:hAnsi="Tahoma"/>
      <w:sz w:val="24"/>
      <w:szCs w:val="20"/>
    </w:rPr>
  </w:style>
  <w:style w:type="character" w:customStyle="1" w:styleId="HTMLChar">
    <w:name w:val="HTML 预设格式 Char"/>
    <w:link w:val="HTML"/>
    <w:qFormat/>
    <w:rPr>
      <w:rFonts w:ascii="宋体" w:eastAsia="宋体" w:hAnsi="宋体" w:cs="宋体"/>
      <w:kern w:val="0"/>
      <w:sz w:val="30"/>
      <w:szCs w:val="30"/>
    </w:rPr>
  </w:style>
  <w:style w:type="character" w:customStyle="1" w:styleId="Heading1Char">
    <w:name w:val="Heading 1 Char"/>
    <w:qFormat/>
    <w:locked/>
    <w:rPr>
      <w:rFonts w:ascii="Times New Roman" w:eastAsia="宋体" w:hAnsi="Times New Roman" w:cs="Times New Roman"/>
      <w:b/>
      <w:bCs/>
      <w:kern w:val="44"/>
      <w:sz w:val="44"/>
      <w:szCs w:val="44"/>
    </w:rPr>
  </w:style>
  <w:style w:type="character" w:customStyle="1" w:styleId="EmailStyle2021">
    <w:name w:val="EmailStyle2021"/>
    <w:semiHidden/>
    <w:qFormat/>
    <w:rPr>
      <w:rFonts w:ascii="Arial" w:eastAsia="宋体" w:hAnsi="Arial" w:cs="Arial"/>
      <w:color w:val="auto"/>
      <w:sz w:val="18"/>
      <w:szCs w:val="20"/>
    </w:rPr>
  </w:style>
  <w:style w:type="paragraph" w:customStyle="1" w:styleId="15">
    <w:name w:val="吹き出し1"/>
    <w:basedOn w:val="a1"/>
    <w:semiHidden/>
    <w:qFormat/>
    <w:pPr>
      <w:jc w:val="left"/>
    </w:pPr>
    <w:rPr>
      <w:rFonts w:ascii="Arial" w:eastAsia="MS Gothic" w:hAnsi="Arial"/>
      <w:sz w:val="18"/>
      <w:szCs w:val="18"/>
      <w:lang w:eastAsia="zh-TW"/>
    </w:rPr>
  </w:style>
  <w:style w:type="paragraph" w:customStyle="1" w:styleId="CM17">
    <w:name w:val="CM17"/>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62">
    <w:name w:val="CM62"/>
    <w:basedOn w:val="Default"/>
    <w:next w:val="Default"/>
    <w:qFormat/>
    <w:pPr>
      <w:spacing w:line="403" w:lineRule="atLeast"/>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96">
    <w:name w:val="CM96"/>
    <w:basedOn w:val="Default"/>
    <w:next w:val="Default"/>
    <w:qFormat/>
    <w:pPr>
      <w:spacing w:after="109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9">
    <w:name w:val="CM69"/>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paragraph" w:customStyle="1" w:styleId="s4">
    <w:name w:val="s4"/>
    <w:basedOn w:val="a1"/>
    <w:qFormat/>
    <w:pPr>
      <w:widowControl/>
      <w:spacing w:before="100" w:beforeAutospacing="1" w:after="100" w:afterAutospacing="1"/>
      <w:jc w:val="left"/>
    </w:pPr>
    <w:rPr>
      <w:rFonts w:ascii="宋体" w:hAnsi="宋体" w:cs="宋体"/>
      <w:kern w:val="0"/>
      <w:sz w:val="24"/>
      <w:szCs w:val="24"/>
    </w:rPr>
  </w:style>
  <w:style w:type="character" w:customStyle="1" w:styleId="HeaderChar">
    <w:name w:val="Header Char"/>
    <w:qFormat/>
    <w:locked/>
    <w:rPr>
      <w:rFonts w:cs="Times New Roman"/>
      <w:sz w:val="18"/>
      <w:szCs w:val="18"/>
    </w:rPr>
  </w:style>
  <w:style w:type="character" w:customStyle="1" w:styleId="FooterChar">
    <w:name w:val="Footer Char"/>
    <w:qFormat/>
    <w:locked/>
    <w:rPr>
      <w:rFonts w:cs="Times New Roman"/>
      <w:sz w:val="18"/>
      <w:szCs w:val="18"/>
    </w:rPr>
  </w:style>
  <w:style w:type="character" w:customStyle="1" w:styleId="BalloonTextChar">
    <w:name w:val="Balloon Text Char"/>
    <w:qFormat/>
    <w:locked/>
    <w:rPr>
      <w:rFonts w:ascii="Times New Roman" w:eastAsia="宋体" w:hAnsi="Times New Roman" w:cs="Times New Roman"/>
      <w:sz w:val="18"/>
      <w:szCs w:val="18"/>
    </w:rPr>
  </w:style>
  <w:style w:type="character" w:customStyle="1" w:styleId="style10">
    <w:name w:val="style1"/>
    <w:qFormat/>
    <w:rPr>
      <w:rFonts w:cs="Times New Roman"/>
    </w:rPr>
  </w:style>
  <w:style w:type="character" w:customStyle="1" w:styleId="style31">
    <w:name w:val="style31"/>
    <w:qFormat/>
    <w:rPr>
      <w:color w:val="666666"/>
      <w:sz w:val="18"/>
      <w:szCs w:val="18"/>
      <w:u w:val="none"/>
    </w:rPr>
  </w:style>
  <w:style w:type="character" w:customStyle="1" w:styleId="afffc">
    <w:name w:val="一级标题"/>
    <w:qFormat/>
    <w:rPr>
      <w:rFonts w:eastAsia="黑体" w:cs="Times New Roman"/>
      <w:sz w:val="32"/>
    </w:rPr>
  </w:style>
  <w:style w:type="character" w:customStyle="1" w:styleId="afffd">
    <w:name w:val="二级标题"/>
    <w:qFormat/>
    <w:rPr>
      <w:rFonts w:eastAsia="楷体" w:cs="Times New Roman"/>
      <w:b/>
      <w:sz w:val="30"/>
    </w:rPr>
  </w:style>
  <w:style w:type="paragraph" w:customStyle="1" w:styleId="L">
    <w:name w:val="L正文"/>
    <w:basedOn w:val="a1"/>
    <w:link w:val="LChar"/>
    <w:qFormat/>
    <w:pPr>
      <w:spacing w:line="360" w:lineRule="auto"/>
      <w:ind w:firstLineChars="200" w:firstLine="200"/>
    </w:pPr>
    <w:rPr>
      <w:rFonts w:cs="宋体"/>
      <w:sz w:val="24"/>
    </w:rPr>
  </w:style>
  <w:style w:type="character" w:customStyle="1" w:styleId="LChar">
    <w:name w:val="L正文 Char"/>
    <w:link w:val="L"/>
    <w:qFormat/>
    <w:locked/>
    <w:rPr>
      <w:rFonts w:ascii="Calibri" w:eastAsia="宋体" w:hAnsi="Calibri" w:cs="宋体"/>
      <w:sz w:val="24"/>
    </w:rPr>
  </w:style>
  <w:style w:type="paragraph" w:customStyle="1" w:styleId="L0">
    <w:name w:val="L章节标题"/>
    <w:basedOn w:val="1"/>
    <w:link w:val="LChar0"/>
    <w:qFormat/>
  </w:style>
  <w:style w:type="character" w:customStyle="1" w:styleId="LChar0">
    <w:name w:val="L章节标题 Char"/>
    <w:link w:val="L0"/>
    <w:qFormat/>
    <w:locked/>
    <w:rPr>
      <w:rFonts w:ascii="Times New Roman" w:eastAsia="宋体" w:hAnsi="Times New Roman" w:cs="Times New Roman"/>
      <w:b/>
      <w:bCs/>
      <w:kern w:val="44"/>
      <w:sz w:val="44"/>
      <w:szCs w:val="44"/>
    </w:rPr>
  </w:style>
  <w:style w:type="paragraph" w:customStyle="1" w:styleId="L1">
    <w:name w:val="L一级标题"/>
    <w:basedOn w:val="2"/>
    <w:link w:val="LChar1"/>
    <w:qFormat/>
  </w:style>
  <w:style w:type="character" w:customStyle="1" w:styleId="LChar1">
    <w:name w:val="L一级标题 Char"/>
    <w:link w:val="L1"/>
    <w:qFormat/>
    <w:locked/>
    <w:rPr>
      <w:rFonts w:ascii="Arial" w:eastAsia="黑体" w:hAnsi="Arial" w:cs="Times New Roman"/>
      <w:b/>
      <w:bCs/>
      <w:sz w:val="32"/>
      <w:szCs w:val="32"/>
    </w:rPr>
  </w:style>
  <w:style w:type="character" w:customStyle="1" w:styleId="Charc">
    <w:name w:val="副标题 Char"/>
    <w:link w:val="af4"/>
    <w:uiPriority w:val="11"/>
    <w:qFormat/>
    <w:rPr>
      <w:rFonts w:ascii="Calibri Light" w:eastAsia="宋体" w:hAnsi="Calibri Light" w:cs="Times New Roman"/>
      <w:b/>
      <w:bCs/>
      <w:kern w:val="28"/>
      <w:sz w:val="32"/>
      <w:szCs w:val="32"/>
    </w:rPr>
  </w:style>
  <w:style w:type="paragraph" w:customStyle="1" w:styleId="16">
    <w:name w:val="无间隔1"/>
    <w:qFormat/>
    <w:rPr>
      <w:rFonts w:eastAsia="MS Mincho"/>
      <w:sz w:val="24"/>
      <w:szCs w:val="24"/>
      <w:lang w:eastAsia="ja-JP"/>
    </w:rPr>
  </w:style>
  <w:style w:type="paragraph" w:customStyle="1" w:styleId="27">
    <w:name w:val="列出段落2"/>
    <w:basedOn w:val="a1"/>
    <w:qFormat/>
    <w:pPr>
      <w:ind w:firstLineChars="200" w:firstLine="420"/>
    </w:pPr>
  </w:style>
  <w:style w:type="paragraph" w:customStyle="1" w:styleId="TOC1">
    <w:name w:val="TOC 标题1"/>
    <w:basedOn w:val="1"/>
    <w:next w:val="a1"/>
    <w:qFormat/>
  </w:style>
  <w:style w:type="paragraph" w:customStyle="1" w:styleId="17">
    <w:name w:val="正文1"/>
    <w:basedOn w:val="a1"/>
    <w:qFormat/>
    <w:pPr>
      <w:widowControl/>
    </w:pPr>
    <w:rPr>
      <w:rFonts w:cs="Calibri"/>
      <w:kern w:val="0"/>
      <w:sz w:val="20"/>
      <w:szCs w:val="20"/>
    </w:rPr>
  </w:style>
  <w:style w:type="paragraph" w:customStyle="1" w:styleId="A10">
    <w:name w:val="A段1"/>
    <w:basedOn w:val="30"/>
    <w:link w:val="A1Char"/>
    <w:qFormat/>
  </w:style>
  <w:style w:type="character" w:customStyle="1" w:styleId="A1Char">
    <w:name w:val="A段1 Char"/>
    <w:link w:val="A10"/>
    <w:qFormat/>
    <w:locked/>
    <w:rPr>
      <w:rFonts w:ascii="Times New Roman" w:eastAsia="宋体" w:hAnsi="Times New Roman" w:cs="Times New Roman"/>
      <w:b/>
      <w:bCs/>
      <w:sz w:val="32"/>
      <w:szCs w:val="32"/>
    </w:rPr>
  </w:style>
  <w:style w:type="paragraph" w:customStyle="1" w:styleId="A20">
    <w:name w:val="A段2"/>
    <w:basedOn w:val="4"/>
    <w:link w:val="A2Char"/>
    <w:qFormat/>
  </w:style>
  <w:style w:type="character" w:customStyle="1" w:styleId="A2Char">
    <w:name w:val="A段2 Char"/>
    <w:link w:val="A20"/>
    <w:qFormat/>
    <w:locked/>
    <w:rPr>
      <w:rFonts w:ascii="Arial" w:eastAsia="黑体" w:hAnsi="Arial" w:cs="Times New Roman"/>
      <w:b/>
      <w:bCs/>
      <w:sz w:val="28"/>
      <w:szCs w:val="28"/>
    </w:rPr>
  </w:style>
  <w:style w:type="paragraph" w:customStyle="1" w:styleId="Aa0">
    <w:name w:val="Aa正文"/>
    <w:basedOn w:val="a1"/>
    <w:link w:val="AaChar"/>
    <w:qFormat/>
    <w:pPr>
      <w:autoSpaceDE w:val="0"/>
      <w:autoSpaceDN w:val="0"/>
      <w:adjustRightInd w:val="0"/>
      <w:spacing w:line="276" w:lineRule="auto"/>
      <w:ind w:firstLineChars="200" w:firstLine="200"/>
    </w:pPr>
    <w:rPr>
      <w:rFonts w:ascii="宋体" w:hAnsi="宋体"/>
      <w:kern w:val="0"/>
      <w:szCs w:val="20"/>
    </w:rPr>
  </w:style>
  <w:style w:type="character" w:customStyle="1" w:styleId="AaChar">
    <w:name w:val="Aa正文 Char"/>
    <w:link w:val="Aa0"/>
    <w:qFormat/>
    <w:locked/>
    <w:rPr>
      <w:rFonts w:ascii="宋体" w:eastAsia="宋体" w:hAnsi="宋体" w:cs="Times New Roman"/>
      <w:kern w:val="0"/>
      <w:szCs w:val="20"/>
    </w:rPr>
  </w:style>
  <w:style w:type="paragraph" w:customStyle="1" w:styleId="Afffe">
    <w:name w:val="A表标题"/>
    <w:basedOn w:val="a1"/>
    <w:link w:val="AChar"/>
    <w:qFormat/>
    <w:pPr>
      <w:spacing w:line="300" w:lineRule="auto"/>
      <w:jc w:val="center"/>
    </w:pPr>
    <w:rPr>
      <w:rFonts w:ascii="宋体" w:hAnsi="宋体"/>
      <w:b/>
      <w:kern w:val="0"/>
      <w:szCs w:val="20"/>
    </w:rPr>
  </w:style>
  <w:style w:type="character" w:customStyle="1" w:styleId="AChar">
    <w:name w:val="A表标题 Char"/>
    <w:link w:val="Afffe"/>
    <w:qFormat/>
    <w:locked/>
    <w:rPr>
      <w:rFonts w:ascii="宋体" w:eastAsia="宋体" w:hAnsi="宋体" w:cs="Times New Roman"/>
      <w:b/>
      <w:kern w:val="0"/>
      <w:szCs w:val="20"/>
    </w:rPr>
  </w:style>
  <w:style w:type="paragraph" w:customStyle="1" w:styleId="Affff">
    <w:name w:val="A表注"/>
    <w:basedOn w:val="a1"/>
    <w:link w:val="AChar0"/>
    <w:qFormat/>
    <w:pPr>
      <w:autoSpaceDE w:val="0"/>
      <w:autoSpaceDN w:val="0"/>
      <w:adjustRightInd w:val="0"/>
      <w:spacing w:line="300" w:lineRule="auto"/>
      <w:jc w:val="left"/>
    </w:pPr>
    <w:rPr>
      <w:rFonts w:ascii="宋体" w:hAnsi="宋体"/>
      <w:kern w:val="0"/>
      <w:sz w:val="18"/>
      <w:szCs w:val="20"/>
    </w:rPr>
  </w:style>
  <w:style w:type="character" w:customStyle="1" w:styleId="AChar0">
    <w:name w:val="A表注 Char"/>
    <w:link w:val="Affff"/>
    <w:qFormat/>
    <w:locked/>
    <w:rPr>
      <w:rFonts w:ascii="宋体" w:eastAsia="宋体" w:hAnsi="宋体" w:cs="Times New Roman"/>
      <w:kern w:val="0"/>
      <w:sz w:val="18"/>
      <w:szCs w:val="20"/>
    </w:rPr>
  </w:style>
  <w:style w:type="paragraph" w:customStyle="1" w:styleId="A11">
    <w:name w:val="A图样式1"/>
    <w:basedOn w:val="a1"/>
    <w:link w:val="A1Char0"/>
    <w:qFormat/>
    <w:pPr>
      <w:autoSpaceDE w:val="0"/>
      <w:autoSpaceDN w:val="0"/>
      <w:adjustRightInd w:val="0"/>
      <w:jc w:val="center"/>
    </w:pPr>
    <w:rPr>
      <w:rFonts w:ascii="宋体" w:hAnsi="宋体"/>
      <w:kern w:val="0"/>
      <w:szCs w:val="20"/>
    </w:rPr>
  </w:style>
  <w:style w:type="character" w:customStyle="1" w:styleId="A1Char0">
    <w:name w:val="A图样式1 Char"/>
    <w:link w:val="A11"/>
    <w:qFormat/>
    <w:locked/>
    <w:rPr>
      <w:rFonts w:ascii="宋体" w:eastAsia="宋体" w:hAnsi="宋体" w:cs="Times New Roman"/>
      <w:kern w:val="0"/>
      <w:szCs w:val="20"/>
    </w:rPr>
  </w:style>
  <w:style w:type="table" w:customStyle="1" w:styleId="33">
    <w:name w:val="网格型3"/>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0">
    <w:name w:val="A标题"/>
    <w:basedOn w:val="af8"/>
    <w:link w:val="AChar1"/>
    <w:qFormat/>
    <w:pPr>
      <w:wordWrap/>
      <w:spacing w:before="240" w:after="60"/>
      <w:outlineLvl w:val="0"/>
    </w:pPr>
    <w:rPr>
      <w:rFonts w:ascii="华文细黑" w:eastAsia="华文细黑" w:hAnsi="华文细黑"/>
      <w:b/>
      <w:kern w:val="0"/>
      <w:sz w:val="32"/>
      <w:lang w:eastAsia="zh-CN"/>
    </w:rPr>
  </w:style>
  <w:style w:type="character" w:customStyle="1" w:styleId="AChar1">
    <w:name w:val="A标题 Char"/>
    <w:link w:val="Affff0"/>
    <w:qFormat/>
    <w:locked/>
    <w:rPr>
      <w:rFonts w:ascii="华文细黑" w:eastAsia="华文细黑" w:hAnsi="华文细黑" w:cs="Times New Roman"/>
      <w:b/>
      <w:kern w:val="0"/>
      <w:sz w:val="32"/>
      <w:szCs w:val="20"/>
    </w:rPr>
  </w:style>
  <w:style w:type="paragraph" w:customStyle="1" w:styleId="aa1">
    <w:name w:val="aa"/>
    <w:basedOn w:val="a1"/>
    <w:qFormat/>
    <w:pPr>
      <w:widowControl/>
      <w:autoSpaceDE w:val="0"/>
      <w:autoSpaceDN w:val="0"/>
      <w:spacing w:line="276" w:lineRule="auto"/>
      <w:ind w:firstLine="200"/>
    </w:pPr>
    <w:rPr>
      <w:rFonts w:ascii="宋体" w:hAnsi="宋体" w:cs="宋体"/>
      <w:kern w:val="0"/>
      <w:sz w:val="20"/>
      <w:szCs w:val="20"/>
    </w:rPr>
  </w:style>
  <w:style w:type="character" w:customStyle="1" w:styleId="CharChar7">
    <w:name w:val="Char Char7"/>
    <w:qFormat/>
    <w:rPr>
      <w:rFonts w:cs="Times New Roman"/>
      <w:b/>
      <w:bCs/>
      <w:kern w:val="44"/>
      <w:sz w:val="44"/>
      <w:szCs w:val="44"/>
    </w:rPr>
  </w:style>
  <w:style w:type="character" w:customStyle="1" w:styleId="CharChar6">
    <w:name w:val="Char Char6"/>
    <w:qFormat/>
    <w:rPr>
      <w:rFonts w:ascii="Calibri Light" w:eastAsia="宋体" w:hAnsi="Calibri Light" w:cs="Times New Roman"/>
      <w:b/>
      <w:bCs/>
      <w:sz w:val="32"/>
      <w:szCs w:val="32"/>
    </w:rPr>
  </w:style>
  <w:style w:type="character" w:customStyle="1" w:styleId="CharChar5">
    <w:name w:val="Char Char5"/>
    <w:qFormat/>
    <w:rPr>
      <w:rFonts w:ascii="Calibri" w:eastAsia="宋体" w:hAnsi="Calibri" w:cs="Times New Roman"/>
      <w:b/>
      <w:bCs/>
      <w:sz w:val="32"/>
      <w:szCs w:val="32"/>
    </w:rPr>
  </w:style>
  <w:style w:type="character" w:customStyle="1" w:styleId="CharChar0">
    <w:name w:val="表格文字 Char Char"/>
    <w:qFormat/>
    <w:rPr>
      <w:rFonts w:ascii="Calibri Light" w:eastAsia="宋体" w:hAnsi="Calibri Light" w:cs="Times New Roman"/>
      <w:b/>
      <w:bCs/>
      <w:kern w:val="28"/>
      <w:sz w:val="32"/>
      <w:szCs w:val="32"/>
    </w:rPr>
  </w:style>
  <w:style w:type="paragraph" w:styleId="affff1">
    <w:name w:val="No Spacing"/>
    <w:qFormat/>
    <w:rPr>
      <w:rFonts w:eastAsia="MS Mincho"/>
      <w:sz w:val="24"/>
      <w:szCs w:val="24"/>
      <w:lang w:eastAsia="ja-JP"/>
    </w:rPr>
  </w:style>
  <w:style w:type="paragraph" w:customStyle="1" w:styleId="TOC2">
    <w:name w:val="TOC 标题2"/>
    <w:basedOn w:val="1"/>
    <w:next w:val="a1"/>
    <w:qFormat/>
    <w:pPr>
      <w:outlineLvl w:val="9"/>
    </w:pPr>
    <w:rPr>
      <w:rFonts w:ascii="Calibri" w:hAnsi="Calibri"/>
    </w:rPr>
  </w:style>
  <w:style w:type="character" w:customStyle="1" w:styleId="CharChar3">
    <w:name w:val="Char Char3"/>
    <w:qFormat/>
    <w:rPr>
      <w:rFonts w:ascii="Times New Roman" w:eastAsia="宋体" w:hAnsi="Times New Roman" w:cs="Times New Roman"/>
      <w:sz w:val="18"/>
      <w:szCs w:val="18"/>
    </w:rPr>
  </w:style>
  <w:style w:type="character" w:customStyle="1" w:styleId="CharChar2">
    <w:name w:val="Char Char2"/>
    <w:qFormat/>
    <w:rPr>
      <w:rFonts w:ascii="Times New Roman" w:eastAsia="宋体" w:hAnsi="Times New Roman" w:cs="Times New Roman"/>
      <w:sz w:val="18"/>
      <w:szCs w:val="18"/>
    </w:rPr>
  </w:style>
  <w:style w:type="character" w:customStyle="1" w:styleId="CharChar4">
    <w:name w:val="Char Char4"/>
    <w:qFormat/>
    <w:rPr>
      <w:rFonts w:ascii="Calibri Light" w:eastAsia="宋体" w:hAnsi="Calibri Light" w:cs="Times New Roman"/>
      <w:b/>
      <w:bCs/>
      <w:sz w:val="28"/>
      <w:szCs w:val="28"/>
    </w:rPr>
  </w:style>
  <w:style w:type="character" w:customStyle="1" w:styleId="CharChar1">
    <w:name w:val="Char Char1"/>
    <w:qFormat/>
    <w:rPr>
      <w:rFonts w:cs="Times New Roman"/>
      <w:sz w:val="18"/>
      <w:szCs w:val="18"/>
    </w:rPr>
  </w:style>
  <w:style w:type="character" w:customStyle="1" w:styleId="CharChar11">
    <w:name w:val="Char Char11"/>
    <w:qFormat/>
    <w:rPr>
      <w:sz w:val="18"/>
      <w:szCs w:val="18"/>
    </w:rPr>
  </w:style>
  <w:style w:type="character" w:customStyle="1" w:styleId="CharChar21">
    <w:name w:val="Char Char21"/>
    <w:qFormat/>
    <w:rPr>
      <w:sz w:val="18"/>
      <w:szCs w:val="18"/>
      <w:lang w:val="zh-CN" w:eastAsia="zh-CN"/>
    </w:rPr>
  </w:style>
  <w:style w:type="character" w:customStyle="1" w:styleId="list0020paragraphchar1">
    <w:name w:val="list_0020paragraph__char1"/>
    <w:qFormat/>
    <w:rPr>
      <w:rFonts w:ascii="Calibri" w:hAnsi="Calibri" w:cs="Calibri" w:hint="default"/>
      <w:sz w:val="20"/>
      <w:szCs w:val="20"/>
    </w:rPr>
  </w:style>
  <w:style w:type="character" w:customStyle="1" w:styleId="usertext1">
    <w:name w:val="usertext1"/>
    <w:qFormat/>
    <w:rPr>
      <w:rFonts w:ascii="Arial" w:hAnsi="Arial" w:cs="Arial" w:hint="default"/>
      <w:sz w:val="20"/>
      <w:szCs w:val="20"/>
    </w:rPr>
  </w:style>
  <w:style w:type="paragraph" w:customStyle="1" w:styleId="Char20">
    <w:name w:val="Char2"/>
    <w:basedOn w:val="a1"/>
    <w:qFormat/>
    <w:rPr>
      <w:rFonts w:ascii="Tahoma" w:hAnsi="Tahoma"/>
      <w:sz w:val="24"/>
      <w:szCs w:val="20"/>
    </w:rPr>
  </w:style>
  <w:style w:type="character" w:customStyle="1" w:styleId="style111">
    <w:name w:val="style111"/>
    <w:qFormat/>
    <w:rPr>
      <w:color w:val="000000"/>
      <w:sz w:val="20"/>
      <w:szCs w:val="20"/>
    </w:rPr>
  </w:style>
  <w:style w:type="character" w:customStyle="1" w:styleId="CharChar51">
    <w:name w:val="Char Char51"/>
    <w:qFormat/>
    <w:rPr>
      <w:rFonts w:eastAsia="宋体"/>
      <w:kern w:val="2"/>
      <w:sz w:val="18"/>
      <w:szCs w:val="18"/>
      <w:lang w:val="en-US" w:eastAsia="zh-CN" w:bidi="ar-SA"/>
    </w:rPr>
  </w:style>
  <w:style w:type="character" w:customStyle="1" w:styleId="CharChar8">
    <w:name w:val="Char Char8"/>
    <w:qFormat/>
    <w:rPr>
      <w:rFonts w:eastAsia="宋体"/>
      <w:kern w:val="2"/>
      <w:sz w:val="18"/>
      <w:szCs w:val="18"/>
      <w:lang w:val="en-US" w:eastAsia="zh-CN" w:bidi="ar-SA"/>
    </w:rPr>
  </w:style>
  <w:style w:type="character" w:customStyle="1" w:styleId="CharChar71">
    <w:name w:val="Char Char71"/>
    <w:qFormat/>
    <w:rPr>
      <w:rFonts w:eastAsia="宋体"/>
      <w:kern w:val="2"/>
      <w:sz w:val="18"/>
      <w:szCs w:val="18"/>
      <w:lang w:val="en-US" w:eastAsia="zh-CN" w:bidi="ar-SA"/>
    </w:rPr>
  </w:style>
  <w:style w:type="character" w:customStyle="1" w:styleId="CharChar61">
    <w:name w:val="Char Char61"/>
    <w:qFormat/>
    <w:rPr>
      <w:rFonts w:eastAsia="宋体"/>
      <w:kern w:val="2"/>
      <w:sz w:val="18"/>
      <w:szCs w:val="18"/>
      <w:lang w:val="en-US" w:eastAsia="zh-CN" w:bidi="ar-SA"/>
    </w:rPr>
  </w:style>
  <w:style w:type="character" w:customStyle="1" w:styleId="CharChar41">
    <w:name w:val="Char Char41"/>
    <w:qFormat/>
    <w:rPr>
      <w:rFonts w:eastAsia="BatangChe"/>
      <w:kern w:val="2"/>
      <w:sz w:val="40"/>
      <w:lang w:val="en-US" w:eastAsia="ko-KR" w:bidi="ar-SA"/>
    </w:rPr>
  </w:style>
  <w:style w:type="character" w:customStyle="1" w:styleId="CharChar31">
    <w:name w:val="Char Char31"/>
    <w:qFormat/>
    <w:rPr>
      <w:rFonts w:eastAsia="宋体"/>
      <w:kern w:val="2"/>
      <w:sz w:val="18"/>
      <w:szCs w:val="18"/>
      <w:lang w:val="en-US" w:eastAsia="zh-CN" w:bidi="ar-SA"/>
    </w:rPr>
  </w:style>
  <w:style w:type="character" w:customStyle="1" w:styleId="EmailStyle202">
    <w:name w:val="EmailStyle202"/>
    <w:semiHidden/>
    <w:qFormat/>
    <w:rPr>
      <w:rFonts w:ascii="Arial" w:eastAsia="宋体" w:hAnsi="Arial" w:cs="Arial"/>
      <w:color w:val="auto"/>
      <w:sz w:val="18"/>
      <w:szCs w:val="20"/>
    </w:rPr>
  </w:style>
  <w:style w:type="table" w:customStyle="1" w:styleId="110">
    <w:name w:val="简明型 11"/>
    <w:basedOn w:val="a4"/>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DefaultParagraphFontParaChar">
    <w:name w:val="Default Paragraph Font Para Char"/>
    <w:basedOn w:val="a1"/>
    <w:qFormat/>
    <w:pPr>
      <w:widowControl/>
      <w:spacing w:after="160" w:line="240" w:lineRule="exact"/>
      <w:jc w:val="left"/>
    </w:pPr>
    <w:rPr>
      <w:rFonts w:ascii="Times New Roman" w:hAnsi="Times New Roman"/>
      <w:szCs w:val="20"/>
    </w:rPr>
  </w:style>
  <w:style w:type="paragraph" w:customStyle="1" w:styleId="CharChar3CharCharCharChar">
    <w:name w:val="Char Char3 Char Char Char Char"/>
    <w:basedOn w:val="a1"/>
    <w:qFormat/>
    <w:pPr>
      <w:tabs>
        <w:tab w:val="left" w:pos="360"/>
      </w:tabs>
    </w:pPr>
    <w:rPr>
      <w:rFonts w:ascii="Times New Roman" w:hAnsi="Times New Roman"/>
      <w:sz w:val="24"/>
      <w:szCs w:val="24"/>
    </w:rPr>
  </w:style>
  <w:style w:type="character" w:customStyle="1" w:styleId="FootnoteTextChar">
    <w:name w:val="Footnote Text Char"/>
    <w:semiHidden/>
    <w:qFormat/>
    <w:locked/>
    <w:rPr>
      <w:rFonts w:ascii="Times New Roman" w:eastAsia="宋体" w:hAnsi="Times New Roman" w:cs="Times New Roman"/>
      <w:sz w:val="18"/>
      <w:szCs w:val="18"/>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1"/>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shd w:val="clear" w:color="000000" w:fill="FFFF00"/>
      <w:spacing w:before="100" w:beforeAutospacing="1" w:after="100" w:afterAutospacing="1"/>
      <w:jc w:val="center"/>
    </w:pPr>
    <w:rPr>
      <w:rFonts w:ascii="宋体" w:hAnsi="宋体" w:cs="宋体"/>
      <w:kern w:val="0"/>
      <w:sz w:val="24"/>
      <w:szCs w:val="24"/>
    </w:rPr>
  </w:style>
  <w:style w:type="paragraph" w:customStyle="1" w:styleId="font6">
    <w:name w:val="font6"/>
    <w:basedOn w:val="a1"/>
    <w:qFormat/>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1"/>
    <w:qFormat/>
    <w:pPr>
      <w:widowControl/>
      <w:spacing w:before="100" w:beforeAutospacing="1" w:after="100" w:afterAutospacing="1"/>
      <w:jc w:val="left"/>
    </w:pPr>
    <w:rPr>
      <w:rFonts w:ascii="宋体" w:hAnsi="宋体" w:cs="宋体"/>
      <w:kern w:val="0"/>
      <w:sz w:val="24"/>
      <w:szCs w:val="24"/>
    </w:rPr>
  </w:style>
  <w:style w:type="paragraph" w:customStyle="1" w:styleId="xl63">
    <w:name w:val="xl63"/>
    <w:basedOn w:val="a1"/>
    <w:qFormat/>
    <w:pPr>
      <w:widowControl/>
      <w:spacing w:before="100" w:beforeAutospacing="1" w:after="100" w:afterAutospacing="1"/>
      <w:jc w:val="center"/>
    </w:pPr>
    <w:rPr>
      <w:rFonts w:ascii="宋体" w:hAnsi="宋体" w:cs="宋体"/>
      <w:kern w:val="0"/>
      <w:sz w:val="24"/>
      <w:szCs w:val="24"/>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34">
    <w:name w:val="列出段落3"/>
    <w:basedOn w:val="a1"/>
    <w:qFormat/>
    <w:pPr>
      <w:ind w:firstLineChars="200" w:firstLine="420"/>
    </w:pPr>
  </w:style>
  <w:style w:type="paragraph" w:customStyle="1" w:styleId="28">
    <w:name w:val="无间隔2"/>
    <w:qFormat/>
    <w:rPr>
      <w:rFonts w:eastAsia="MS Mincho"/>
      <w:sz w:val="24"/>
      <w:szCs w:val="24"/>
      <w:lang w:eastAsia="ja-JP"/>
    </w:rPr>
  </w:style>
  <w:style w:type="paragraph" w:customStyle="1" w:styleId="43">
    <w:name w:val="列出段落4"/>
    <w:basedOn w:val="a1"/>
    <w:qFormat/>
    <w:pPr>
      <w:ind w:firstLineChars="200" w:firstLine="420"/>
    </w:pPr>
  </w:style>
  <w:style w:type="paragraph" w:customStyle="1" w:styleId="TOC21">
    <w:name w:val="TOC 标题21"/>
    <w:basedOn w:val="1"/>
    <w:next w:val="a1"/>
    <w:qFormat/>
    <w:pPr>
      <w:widowControl/>
      <w:tabs>
        <w:tab w:val="clear" w:pos="425"/>
        <w:tab w:val="left" w:pos="1080"/>
      </w:tabs>
      <w:spacing w:before="240" w:after="0" w:line="259" w:lineRule="auto"/>
      <w:ind w:left="0" w:firstLine="0"/>
      <w:jc w:val="left"/>
      <w:outlineLvl w:val="9"/>
    </w:pPr>
    <w:rPr>
      <w:rFonts w:ascii="Calibri Light" w:hAnsi="Calibri Light"/>
      <w:b w:val="0"/>
      <w:bCs w:val="0"/>
      <w:color w:val="2E74B5"/>
      <w:kern w:val="0"/>
      <w:sz w:val="32"/>
      <w:szCs w:val="32"/>
    </w:rPr>
  </w:style>
  <w:style w:type="table" w:customStyle="1" w:styleId="44">
    <w:name w:val="网格型4"/>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12">
    <w:name w:val="Char Char12"/>
    <w:qFormat/>
    <w:rPr>
      <w:sz w:val="18"/>
      <w:szCs w:val="18"/>
    </w:rPr>
  </w:style>
  <w:style w:type="character" w:customStyle="1" w:styleId="CharChar22">
    <w:name w:val="Char Char22"/>
    <w:qFormat/>
    <w:rPr>
      <w:sz w:val="18"/>
      <w:szCs w:val="18"/>
      <w:lang w:val="zh-CN" w:eastAsia="zh-CN"/>
    </w:rPr>
  </w:style>
  <w:style w:type="paragraph" w:customStyle="1" w:styleId="Char30">
    <w:name w:val="Char3"/>
    <w:basedOn w:val="a1"/>
    <w:qFormat/>
    <w:rPr>
      <w:rFonts w:ascii="Tahoma" w:hAnsi="Tahoma"/>
      <w:sz w:val="24"/>
      <w:szCs w:val="20"/>
    </w:rPr>
  </w:style>
  <w:style w:type="character" w:customStyle="1" w:styleId="CharChar52">
    <w:name w:val="Char Char52"/>
    <w:qFormat/>
    <w:rPr>
      <w:rFonts w:eastAsia="宋体"/>
      <w:kern w:val="2"/>
      <w:sz w:val="18"/>
      <w:szCs w:val="18"/>
      <w:lang w:val="en-US" w:eastAsia="zh-CN" w:bidi="ar-SA"/>
    </w:rPr>
  </w:style>
  <w:style w:type="character" w:customStyle="1" w:styleId="CharChar81">
    <w:name w:val="Char Char81"/>
    <w:qFormat/>
    <w:rPr>
      <w:rFonts w:eastAsia="宋体"/>
      <w:kern w:val="2"/>
      <w:sz w:val="18"/>
      <w:szCs w:val="18"/>
      <w:lang w:val="en-US" w:eastAsia="zh-CN" w:bidi="ar-SA"/>
    </w:rPr>
  </w:style>
  <w:style w:type="character" w:customStyle="1" w:styleId="CharChar72">
    <w:name w:val="Char Char72"/>
    <w:qFormat/>
    <w:rPr>
      <w:rFonts w:eastAsia="宋体"/>
      <w:kern w:val="2"/>
      <w:sz w:val="18"/>
      <w:szCs w:val="18"/>
      <w:lang w:val="en-US" w:eastAsia="zh-CN" w:bidi="ar-SA"/>
    </w:rPr>
  </w:style>
  <w:style w:type="character" w:customStyle="1" w:styleId="CharChar62">
    <w:name w:val="Char Char62"/>
    <w:qFormat/>
    <w:rPr>
      <w:rFonts w:eastAsia="宋体"/>
      <w:kern w:val="2"/>
      <w:sz w:val="18"/>
      <w:szCs w:val="18"/>
      <w:lang w:val="en-US" w:eastAsia="zh-CN" w:bidi="ar-SA"/>
    </w:rPr>
  </w:style>
  <w:style w:type="character" w:customStyle="1" w:styleId="CharChar42">
    <w:name w:val="Char Char42"/>
    <w:qFormat/>
    <w:rPr>
      <w:rFonts w:eastAsia="BatangChe"/>
      <w:kern w:val="2"/>
      <w:sz w:val="40"/>
      <w:lang w:val="en-US" w:eastAsia="ko-KR" w:bidi="ar-SA"/>
    </w:rPr>
  </w:style>
  <w:style w:type="character" w:customStyle="1" w:styleId="CharChar32">
    <w:name w:val="Char Char32"/>
    <w:qFormat/>
    <w:rPr>
      <w:rFonts w:eastAsia="宋体"/>
      <w:kern w:val="2"/>
      <w:sz w:val="18"/>
      <w:szCs w:val="18"/>
      <w:lang w:val="en-US" w:eastAsia="zh-CN" w:bidi="ar-SA"/>
    </w:rPr>
  </w:style>
  <w:style w:type="table" w:customStyle="1" w:styleId="120">
    <w:name w:val="简明型 12"/>
    <w:basedOn w:val="a4"/>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paragraph" w:customStyle="1" w:styleId="CharChar3CharCharCharChar1">
    <w:name w:val="Char Char3 Char Char Char Char1"/>
    <w:basedOn w:val="a1"/>
    <w:qFormat/>
    <w:pPr>
      <w:tabs>
        <w:tab w:val="left" w:pos="360"/>
      </w:tabs>
    </w:pPr>
    <w:rPr>
      <w:rFonts w:ascii="Times New Roman" w:hAnsi="Times New Roman"/>
      <w:sz w:val="24"/>
      <w:szCs w:val="24"/>
    </w:rPr>
  </w:style>
  <w:style w:type="table" w:customStyle="1" w:styleId="52">
    <w:name w:val="网格型5"/>
    <w:basedOn w:val="a4"/>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40">
    <w:name w:val="Char4"/>
    <w:basedOn w:val="a1"/>
    <w:qFormat/>
    <w:rPr>
      <w:rFonts w:ascii="Tahoma" w:hAnsi="Tahoma"/>
      <w:sz w:val="24"/>
      <w:szCs w:val="20"/>
    </w:rPr>
  </w:style>
  <w:style w:type="paragraph" w:customStyle="1" w:styleId="Affff2">
    <w:name w:val="正文 A"/>
    <w:qFormat/>
    <w:pPr>
      <w:widowControl w:val="0"/>
      <w:jc w:val="both"/>
    </w:pPr>
    <w:rPr>
      <w:rFonts w:ascii="Calibri" w:eastAsia="Calibri" w:hAnsi="Calibri" w:cs="Calibri"/>
      <w:color w:val="000000"/>
      <w:kern w:val="2"/>
      <w:sz w:val="21"/>
      <w:szCs w:val="21"/>
      <w:u w:color="000000"/>
    </w:rPr>
  </w:style>
  <w:style w:type="table" w:customStyle="1" w:styleId="61">
    <w:name w:val="网格型6"/>
    <w:basedOn w:val="a4"/>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
    <w:name w:val="text"/>
    <w:basedOn w:val="a1"/>
    <w:qFormat/>
    <w:pPr>
      <w:widowControl/>
      <w:spacing w:before="100" w:beforeAutospacing="1" w:after="100" w:afterAutospacing="1"/>
      <w:jc w:val="left"/>
    </w:pPr>
    <w:rPr>
      <w:rFonts w:ascii="宋体" w:hAnsi="宋体" w:cs="宋体"/>
      <w:kern w:val="0"/>
      <w:sz w:val="24"/>
      <w:szCs w:val="24"/>
    </w:rPr>
  </w:style>
  <w:style w:type="table" w:customStyle="1" w:styleId="71">
    <w:name w:val="网格型7"/>
    <w:basedOn w:val="a4"/>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f1">
    <w:name w:val="列出段落 Char"/>
    <w:link w:val="aff6"/>
    <w:uiPriority w:val="34"/>
    <w:qFormat/>
    <w:locked/>
    <w:rPr>
      <w:kern w:val="2"/>
      <w:sz w:val="21"/>
      <w:szCs w:val="22"/>
    </w:rPr>
  </w:style>
  <w:style w:type="character" w:customStyle="1" w:styleId="A50">
    <w:name w:val="A5"/>
    <w:uiPriority w:val="99"/>
    <w:qFormat/>
    <w:rPr>
      <w:rFonts w:cs="思源黑体"/>
      <w:color w:val="000000"/>
      <w:sz w:val="16"/>
      <w:szCs w:val="16"/>
    </w:rPr>
  </w:style>
  <w:style w:type="paragraph" w:customStyle="1" w:styleId="Pa7">
    <w:name w:val="Pa7"/>
    <w:basedOn w:val="Default"/>
    <w:next w:val="Default"/>
    <w:uiPriority w:val="99"/>
    <w:qFormat/>
    <w:pPr>
      <w:spacing w:line="241" w:lineRule="atLeast"/>
    </w:pPr>
    <w:rPr>
      <w:rFonts w:ascii="思源宋体.一." w:eastAsia="思源宋体.一." w:hAnsi="Calibri" w:cs="Times New Roman"/>
      <w:color w:val="auto"/>
    </w:rPr>
  </w:style>
  <w:style w:type="paragraph" w:customStyle="1" w:styleId="Pa10">
    <w:name w:val="Pa10"/>
    <w:basedOn w:val="Default"/>
    <w:next w:val="Default"/>
    <w:uiPriority w:val="99"/>
    <w:qFormat/>
    <w:pPr>
      <w:spacing w:line="241" w:lineRule="atLeast"/>
    </w:pPr>
    <w:rPr>
      <w:rFonts w:ascii="思源宋体.一." w:eastAsia="思源宋体.一." w:hAnsi="Calibri" w:cs="Times New Roman"/>
      <w:color w:val="auto"/>
    </w:rPr>
  </w:style>
  <w:style w:type="paragraph" w:customStyle="1" w:styleId="Pa11">
    <w:name w:val="Pa11"/>
    <w:basedOn w:val="Default"/>
    <w:next w:val="Default"/>
    <w:uiPriority w:val="99"/>
    <w:qFormat/>
    <w:pPr>
      <w:spacing w:line="211" w:lineRule="atLeast"/>
    </w:pPr>
    <w:rPr>
      <w:rFonts w:ascii="思源宋体.一." w:eastAsia="思源宋体.一." w:hAnsi="Calibri" w:cs="Times New Roman"/>
      <w:color w:val="auto"/>
    </w:rPr>
  </w:style>
  <w:style w:type="character" w:customStyle="1" w:styleId="Char11">
    <w:name w:val="纯文本 Char1"/>
    <w:uiPriority w:val="99"/>
    <w:semiHidden/>
    <w:qFormat/>
    <w:rPr>
      <w:rFonts w:ascii="宋体" w:hAnsi="Courier New" w:cs="Courier New"/>
      <w:kern w:val="2"/>
      <w:sz w:val="21"/>
      <w:szCs w:val="21"/>
    </w:rPr>
  </w:style>
  <w:style w:type="table" w:customStyle="1" w:styleId="81">
    <w:name w:val="网格型8"/>
    <w:basedOn w:val="a4"/>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网格型9"/>
    <w:basedOn w:val="a4"/>
    <w:uiPriority w:val="3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91">
    <w:name w:val="_Style 391"/>
    <w:qFormat/>
    <w:pPr>
      <w:widowControl w:val="0"/>
      <w:jc w:val="both"/>
    </w:pPr>
    <w:rPr>
      <w:rFonts w:ascii="Calibri" w:hAnsi="Calibri"/>
      <w:kern w:val="2"/>
      <w:sz w:val="21"/>
      <w:szCs w:val="22"/>
    </w:rPr>
  </w:style>
  <w:style w:type="table" w:customStyle="1" w:styleId="100">
    <w:name w:val="网格型10"/>
    <w:basedOn w:val="a4"/>
    <w:uiPriority w:val="9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3">
    <w:name w:val="脚注文本 字符"/>
    <w:qFormat/>
    <w:rPr>
      <w:rFonts w:ascii="Times New Roman" w:hAnsi="Times New Roman"/>
      <w:kern w:val="2"/>
      <w:sz w:val="18"/>
      <w:szCs w:val="18"/>
    </w:rPr>
  </w:style>
  <w:style w:type="paragraph" w:customStyle="1" w:styleId="111">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affff4">
    <w:name w:val="正文格式"/>
    <w:basedOn w:val="a1"/>
    <w:qFormat/>
    <w:pPr>
      <w:spacing w:line="560" w:lineRule="exact"/>
      <w:ind w:firstLineChars="200" w:firstLine="200"/>
    </w:pPr>
    <w:rPr>
      <w:rFonts w:ascii="Times New Roman" w:eastAsia="方正仿宋简体" w:hAnsi="Times New Roman"/>
      <w:sz w:val="30"/>
      <w:szCs w:val="30"/>
    </w:rPr>
  </w:style>
  <w:style w:type="paragraph" w:customStyle="1" w:styleId="29">
    <w:name w:val="样式 一级标题 + 首行缩进:  2 字符"/>
    <w:qFormat/>
    <w:pPr>
      <w:keepNext/>
      <w:keepLines/>
      <w:spacing w:line="360" w:lineRule="auto"/>
      <w:ind w:firstLineChars="200" w:firstLine="200"/>
      <w:jc w:val="center"/>
      <w:outlineLvl w:val="0"/>
    </w:pPr>
    <w:rPr>
      <w:rFonts w:ascii="黑体" w:eastAsia="方正黑体简体" w:hAnsi="黑体" w:cs="宋体"/>
      <w:kern w:val="44"/>
      <w:sz w:val="30"/>
    </w:rPr>
  </w:style>
  <w:style w:type="paragraph" w:customStyle="1" w:styleId="2a">
    <w:name w:val="样式 二级标题 + 首行缩进:  2 字符"/>
    <w:basedOn w:val="a1"/>
    <w:qFormat/>
    <w:pPr>
      <w:spacing w:line="560" w:lineRule="exact"/>
      <w:ind w:firstLineChars="200" w:firstLine="200"/>
      <w:outlineLvl w:val="1"/>
    </w:pPr>
    <w:rPr>
      <w:rFonts w:ascii="楷体" w:eastAsia="方正楷体简体" w:hAnsi="楷体" w:cs="宋体"/>
      <w:b/>
      <w:bCs/>
      <w:sz w:val="30"/>
      <w:szCs w:val="20"/>
    </w:rPr>
  </w:style>
  <w:style w:type="paragraph" w:customStyle="1" w:styleId="18">
    <w:name w:val="修订1"/>
    <w:hidden/>
    <w:uiPriority w:val="99"/>
    <w:unhideWhenUsed/>
    <w:qFormat/>
    <w:rPr>
      <w:rFonts w:ascii="Calibri" w:hAnsi="Calibr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497FD83-2D44-4280-A212-738FD3948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20</Pages>
  <Words>1365</Words>
  <Characters>7781</Characters>
  <Application>Microsoft Office Word</Application>
  <DocSecurity>0</DocSecurity>
  <Lines>64</Lines>
  <Paragraphs>18</Paragraphs>
  <ScaleCrop>false</ScaleCrop>
  <Company>SHFE</Company>
  <LinksUpToDate>false</LinksUpToDate>
  <CharactersWithSpaces>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上海期货交易所文件</dc:title>
  <dc:creator>许真颖</dc:creator>
  <cp:lastModifiedBy>shfe</cp:lastModifiedBy>
  <cp:revision>11</cp:revision>
  <cp:lastPrinted>2019-08-12T01:15:00Z</cp:lastPrinted>
  <dcterms:created xsi:type="dcterms:W3CDTF">2024-04-18T19:18:00Z</dcterms:created>
  <dcterms:modified xsi:type="dcterms:W3CDTF">2026-08-28T07:00:00Z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7D396A0AE3C42EEBE4954C6A01A2F919</vt:lpwstr>
  </property>
</Properties>
</file>