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B4E" w:rsidRPr="00E45307" w:rsidRDefault="00E45307">
      <w:pPr>
        <w:spacing w:line="560" w:lineRule="exact"/>
        <w:rPr>
          <w:rFonts w:ascii="Times New Roman" w:eastAsia="方正大标宋简体" w:hAnsi="Times New Roman"/>
          <w:color w:val="000000"/>
          <w:sz w:val="42"/>
          <w:szCs w:val="42"/>
        </w:rPr>
      </w:pPr>
      <w:r w:rsidRPr="00E45307">
        <w:rPr>
          <w:rFonts w:ascii="Times New Roman" w:eastAsia="方正大标宋简体" w:hAnsi="Times New Roman" w:hint="eastAsia"/>
          <w:color w:val="000000"/>
          <w:sz w:val="42"/>
          <w:szCs w:val="42"/>
        </w:rPr>
        <w:t>附件</w:t>
      </w:r>
      <w:r w:rsidRPr="00E45307">
        <w:rPr>
          <w:rFonts w:ascii="Times New Roman" w:eastAsia="方正大标宋简体" w:hAnsi="Times New Roman" w:hint="eastAsia"/>
          <w:color w:val="000000"/>
          <w:sz w:val="42"/>
          <w:szCs w:val="42"/>
        </w:rPr>
        <w:t>1</w:t>
      </w:r>
    </w:p>
    <w:p w:rsidR="00AB7B4E" w:rsidRDefault="00AB7B4E">
      <w:pPr>
        <w:spacing w:line="560" w:lineRule="exact"/>
        <w:rPr>
          <w:rFonts w:ascii="Times New Roman" w:eastAsia="方正大标宋简体" w:hAnsi="Times New Roman"/>
          <w:color w:val="000000"/>
          <w:sz w:val="44"/>
          <w:szCs w:val="44"/>
        </w:rPr>
      </w:pPr>
    </w:p>
    <w:p w:rsidR="00AB7B4E" w:rsidRDefault="00E45307">
      <w:pPr>
        <w:spacing w:line="560" w:lineRule="exact"/>
        <w:jc w:val="center"/>
        <w:rPr>
          <w:rFonts w:ascii="Times New Roman" w:eastAsia="方正大标宋简体" w:hAnsi="Times New Roman"/>
          <w:color w:val="000000"/>
          <w:sz w:val="44"/>
          <w:szCs w:val="44"/>
        </w:rPr>
      </w:pPr>
      <w:r>
        <w:rPr>
          <w:rFonts w:ascii="Times New Roman" w:eastAsia="方正大标宋简体" w:hAnsi="Times New Roman" w:hint="eastAsia"/>
          <w:color w:val="000000"/>
          <w:sz w:val="44"/>
          <w:szCs w:val="44"/>
        </w:rPr>
        <w:t>修订说明</w:t>
      </w:r>
    </w:p>
    <w:p w:rsidR="00AB7B4E" w:rsidRDefault="00AB7B4E">
      <w:pPr>
        <w:spacing w:line="560" w:lineRule="exact"/>
        <w:ind w:firstLine="640"/>
        <w:rPr>
          <w:rFonts w:ascii="Times New Roman" w:eastAsia="方正仿宋简体" w:hAnsi="Times New Roman"/>
          <w:color w:val="000000"/>
          <w:sz w:val="30"/>
          <w:szCs w:val="30"/>
        </w:rPr>
      </w:pPr>
    </w:p>
    <w:p w:rsidR="00AB7B4E" w:rsidRDefault="00E45307">
      <w:pPr>
        <w:spacing w:line="560" w:lineRule="exact"/>
        <w:ind w:firstLine="640"/>
        <w:rPr>
          <w:rFonts w:ascii="Times New Roman" w:eastAsia="方正仿宋简体" w:hAnsi="Times New Roman"/>
          <w:color w:val="000000"/>
          <w:sz w:val="30"/>
          <w:szCs w:val="30"/>
        </w:rPr>
      </w:pPr>
      <w:r>
        <w:rPr>
          <w:rFonts w:ascii="Times New Roman" w:eastAsia="方正仿宋简体" w:hAnsi="Times New Roman" w:hint="eastAsia"/>
          <w:color w:val="000000"/>
          <w:sz w:val="30"/>
          <w:szCs w:val="30"/>
        </w:rPr>
        <w:t>为完善上海期货交易所（以下简称交易所）应急场景的适用情形，与期货市场相关应急预案保持一致，拟对《上海期货交易所交易管理办法》做如下调整：</w:t>
      </w:r>
    </w:p>
    <w:p w:rsidR="00AB7B4E" w:rsidRDefault="00E45307">
      <w:pPr>
        <w:spacing w:line="560" w:lineRule="exact"/>
        <w:ind w:firstLine="640"/>
        <w:rPr>
          <w:rFonts w:ascii="Times New Roman" w:eastAsia="方正仿宋简体" w:hAnsi="Times New Roman"/>
          <w:color w:val="000000"/>
          <w:sz w:val="30"/>
          <w:szCs w:val="30"/>
        </w:rPr>
      </w:pPr>
      <w:r>
        <w:rPr>
          <w:rFonts w:ascii="Times New Roman" w:eastAsia="方正仿宋简体" w:hAnsi="Times New Roman" w:hint="eastAsia"/>
          <w:color w:val="000000"/>
          <w:sz w:val="30"/>
          <w:szCs w:val="30"/>
        </w:rPr>
        <w:t>删除第十五条第二款“在开市前，</w:t>
      </w:r>
      <w:r>
        <w:rPr>
          <w:rFonts w:ascii="Times New Roman" w:eastAsia="方正仿宋简体" w:hAnsi="Times New Roman" w:hint="eastAsia"/>
          <w:color w:val="000000"/>
          <w:sz w:val="30"/>
          <w:szCs w:val="30"/>
        </w:rPr>
        <w:t>30%</w:t>
      </w:r>
      <w:r>
        <w:rPr>
          <w:rFonts w:ascii="Times New Roman" w:eastAsia="方正仿宋简体" w:hAnsi="Times New Roman" w:hint="eastAsia"/>
          <w:color w:val="000000"/>
          <w:sz w:val="30"/>
          <w:szCs w:val="30"/>
        </w:rPr>
        <w:t>以上的会员及境外特殊参与者未能完成结算工作或者未完成交易系统初始化工作”这一情形，不再将其作为应急场景。</w:t>
      </w:r>
    </w:p>
    <w:p w:rsidR="00AB7B4E" w:rsidRDefault="00AB7B4E">
      <w:bookmarkStart w:id="0" w:name="_GoBack"/>
      <w:bookmarkEnd w:id="0"/>
    </w:p>
    <w:sectPr w:rsidR="00AB7B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D2079"/>
    <w:rsid w:val="00AB7B4E"/>
    <w:rsid w:val="00E45307"/>
    <w:rsid w:val="463D2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FF63A3-F57C-47C4-90CB-F5C20221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Words>
  <Characters>130</Characters>
  <Application>Microsoft Office Word</Application>
  <DocSecurity>0</DocSecurity>
  <Lines>1</Lines>
  <Paragraphs>1</Paragraphs>
  <ScaleCrop>false</ScaleCrop>
  <Company/>
  <LinksUpToDate>false</LinksUpToDate>
  <CharactersWithSpaces>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2</cp:revision>
  <dcterms:created xsi:type="dcterms:W3CDTF">2026-07-16T09:19:00Z</dcterms:created>
  <dcterms:modified xsi:type="dcterms:W3CDTF">2026-07-22T06:38:00Z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EF77B65EB5F161618B31586AEF15C5B5</vt:lpwstr>
  </property>
</Properties>
</file>