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6A" w:rsidRPr="00276472" w:rsidRDefault="00714CF2">
      <w:pPr>
        <w:spacing w:line="480" w:lineRule="exact"/>
        <w:jc w:val="left"/>
        <w:rPr>
          <w:rFonts w:ascii="方正大标宋简体" w:eastAsia="方正大标宋简体" w:hAnsi="Times New Roman" w:cs="Times New Roman"/>
          <w:sz w:val="42"/>
          <w:szCs w:val="42"/>
        </w:rPr>
      </w:pPr>
      <w:r w:rsidRPr="00276472">
        <w:rPr>
          <w:rFonts w:ascii="方正大标宋简体" w:eastAsia="方正大标宋简体" w:hAnsi="Times New Roman" w:cs="Times New Roman" w:hint="eastAsia"/>
          <w:sz w:val="42"/>
          <w:szCs w:val="42"/>
        </w:rPr>
        <w:t>附件</w:t>
      </w:r>
      <w:r w:rsidRPr="00276472">
        <w:rPr>
          <w:rFonts w:ascii="方正大标宋简体" w:eastAsia="方正大标宋简体" w:hAnsi="Times New Roman" w:cs="Times New Roman" w:hint="eastAsia"/>
          <w:sz w:val="42"/>
          <w:szCs w:val="42"/>
        </w:rPr>
        <w:t>3</w:t>
      </w:r>
    </w:p>
    <w:p w:rsidR="00053D6A" w:rsidRDefault="00053D6A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053D6A" w:rsidRDefault="00714CF2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>
        <w:rPr>
          <w:rFonts w:ascii="方正大标宋简体" w:eastAsia="方正大标宋简体" w:hAnsi="Times New Roman" w:cs="Times New Roman" w:hint="eastAsia"/>
          <w:sz w:val="42"/>
          <w:szCs w:val="42"/>
        </w:rPr>
        <w:t>上海期货交易所铅期货合约</w:t>
      </w:r>
    </w:p>
    <w:p w:rsidR="00053D6A" w:rsidRDefault="00714CF2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>
        <w:rPr>
          <w:rFonts w:ascii="方正大标宋简体" w:eastAsia="方正大标宋简体" w:hAnsi="Times New Roman" w:cs="Times New Roman" w:hint="eastAsia"/>
          <w:sz w:val="42"/>
          <w:szCs w:val="42"/>
        </w:rPr>
        <w:t>（修订</w:t>
      </w:r>
      <w:r>
        <w:rPr>
          <w:rFonts w:ascii="方正大标宋简体" w:eastAsia="方正大标宋简体" w:hAnsi="Times New Roman" w:cs="Times New Roman" w:hint="eastAsia"/>
          <w:sz w:val="42"/>
          <w:szCs w:val="42"/>
        </w:rPr>
        <w:t>草案</w:t>
      </w:r>
      <w:r>
        <w:rPr>
          <w:rFonts w:ascii="方正大标宋简体" w:eastAsia="方正大标宋简体" w:hAnsi="Times New Roman" w:cs="Times New Roman" w:hint="eastAsia"/>
          <w:sz w:val="42"/>
          <w:szCs w:val="42"/>
        </w:rPr>
        <w:t>）</w:t>
      </w:r>
    </w:p>
    <w:p w:rsidR="00053D6A" w:rsidRDefault="00053D6A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tbl>
      <w:tblPr>
        <w:tblStyle w:val="a3"/>
        <w:tblW w:w="9445" w:type="dxa"/>
        <w:jc w:val="center"/>
        <w:tblInd w:w="0" w:type="dxa"/>
        <w:tblLook w:val="04A0" w:firstRow="1" w:lastRow="0" w:firstColumn="1" w:lastColumn="0" w:noHBand="0" w:noVBand="1"/>
      </w:tblPr>
      <w:tblGrid>
        <w:gridCol w:w="2356"/>
        <w:gridCol w:w="7089"/>
      </w:tblGrid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交易品种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交易单位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吨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手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报价单位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元（人民币）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吨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最小变动价位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吨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涨跌停板幅度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上一交易日结算价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±4%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合约月份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～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12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月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交易时间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上午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9:00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－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11:30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，下午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1:30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－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3:00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和交易所规定的其他交易时间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最后交易日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合约月份的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15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日（遇国家法定节假日顺延，春节月份等最后交易日交易所可另行调整并通知）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交割日期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最后交易日后连续二个工作日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交割品级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标准品：铅锭，符合国标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 xml:space="preserve">GB/T 469-2023 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Pb99.994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GB/T469-2023 Pb99.996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；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替代品：再生铅锭，符合国标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21181-2025 ZSPb 99.986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21181-2025 ZSPb 99.990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。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交割地点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交易所交割仓库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最低交易保证金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合约价值的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5%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交割方式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实物交割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交割单位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25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吨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交易代码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PB</w:t>
            </w:r>
          </w:p>
        </w:tc>
      </w:tr>
      <w:tr w:rsidR="00053D6A">
        <w:trPr>
          <w:jc w:val="center"/>
        </w:trPr>
        <w:tc>
          <w:tcPr>
            <w:tcW w:w="1247" w:type="pct"/>
          </w:tcPr>
          <w:p w:rsidR="00053D6A" w:rsidRDefault="00714CF2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上市交易所</w:t>
            </w:r>
          </w:p>
        </w:tc>
        <w:tc>
          <w:tcPr>
            <w:tcW w:w="0" w:type="auto"/>
          </w:tcPr>
          <w:p w:rsidR="00053D6A" w:rsidRDefault="00714CF2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上海期货交易所</w:t>
            </w:r>
          </w:p>
        </w:tc>
      </w:tr>
    </w:tbl>
    <w:p w:rsidR="00053D6A" w:rsidRDefault="00053D6A">
      <w:pPr>
        <w:spacing w:line="480" w:lineRule="exact"/>
        <w:rPr>
          <w:rFonts w:ascii="Times New Roman" w:eastAsia="方正仿宋简体" w:hAnsi="Times New Roman" w:cs="Times New Roman"/>
        </w:rPr>
      </w:pPr>
      <w:bookmarkStart w:id="0" w:name="_GoBack"/>
      <w:bookmarkEnd w:id="0"/>
    </w:p>
    <w:p w:rsidR="00053D6A" w:rsidRDefault="00714CF2">
      <w:pPr>
        <w:rPr>
          <w:rFonts w:ascii="Times New Roman" w:eastAsia="方正仿宋简体" w:hAnsi="Times New Roman" w:cs="Times New Roman"/>
        </w:rPr>
      </w:pPr>
      <w:r>
        <w:rPr>
          <w:rFonts w:ascii="Times New Roman" w:eastAsia="方正仿宋简体" w:hAnsi="Times New Roman" w:cs="Times New Roman"/>
        </w:rPr>
        <w:br w:type="page"/>
      </w:r>
    </w:p>
    <w:p w:rsidR="00053D6A" w:rsidRDefault="00714CF2">
      <w:pPr>
        <w:spacing w:line="50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>
        <w:rPr>
          <w:rFonts w:ascii="方正大标宋简体" w:eastAsia="方正大标宋简体" w:hAnsi="Times New Roman" w:cs="Times New Roman" w:hint="eastAsia"/>
          <w:sz w:val="42"/>
          <w:szCs w:val="42"/>
        </w:rPr>
        <w:lastRenderedPageBreak/>
        <w:t>上海期货交易所铅期货合约附件</w:t>
      </w:r>
    </w:p>
    <w:p w:rsidR="00053D6A" w:rsidRDefault="00053D6A">
      <w:pPr>
        <w:spacing w:line="50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053D6A" w:rsidRDefault="00714CF2">
      <w:pPr>
        <w:spacing w:line="500" w:lineRule="exact"/>
        <w:ind w:firstLineChars="200" w:firstLine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一、交割单位</w:t>
      </w:r>
    </w:p>
    <w:p w:rsidR="00053D6A" w:rsidRDefault="00714CF2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铅期货合约的交易单位为每手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吨，交割单位为每一仓单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吨，交割必须以每一个仓单的整数倍交割。</w:t>
      </w:r>
    </w:p>
    <w:p w:rsidR="00053D6A" w:rsidRDefault="00714CF2">
      <w:pPr>
        <w:spacing w:line="500" w:lineRule="exact"/>
        <w:ind w:firstLineChars="200" w:firstLine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二、质量规定</w:t>
      </w:r>
    </w:p>
    <w:p w:rsidR="00053D6A" w:rsidRDefault="00714CF2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、用于本合约实物交割的铅锭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标准品：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必须符合国标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GB/T 469-2023 Pb99.994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规定，或者符合国标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GB/T469-2023 Pb99.996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规定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；替代品：必须符合国标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GB/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T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21181-2025 ZSPb 99.986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规定，或者符合国标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GB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T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21181-2025 ZSPb 99.990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规定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053D6A" w:rsidRDefault="00714CF2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、外型及块重。交割的铅应为锭，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标准品：</w:t>
      </w:r>
      <w:r>
        <w:rPr>
          <w:rFonts w:ascii="Times New Roman" w:eastAsia="方正仿宋简体" w:hAnsi="Times New Roman" w:cs="Times New Roman" w:hint="eastAsia"/>
          <w:dstrike/>
          <w:sz w:val="30"/>
          <w:szCs w:val="30"/>
        </w:rPr>
        <w:t>国产铅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铅锭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的每锭重量为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48kg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±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3kg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42kg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±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2kg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24kg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±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；替代品：再生铅锭的</w:t>
      </w:r>
      <w:r>
        <w:rPr>
          <w:rFonts w:ascii="Times New Roman" w:eastAsia="方正仿宋简体" w:hAnsi="Times New Roman"/>
          <w:b/>
          <w:bCs/>
          <w:color w:val="FF0000"/>
          <w:sz w:val="30"/>
          <w:szCs w:val="30"/>
        </w:rPr>
        <w:t>每锭重量为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48kg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±</w:t>
      </w:r>
      <w:r>
        <w:rPr>
          <w:rFonts w:ascii="Times New Roman" w:eastAsia="方正仿宋简体" w:hAnsi="Times New Roman"/>
          <w:b/>
          <w:bCs/>
          <w:color w:val="FF0000"/>
          <w:sz w:val="30"/>
          <w:szCs w:val="30"/>
        </w:rPr>
        <w:t>2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、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45kg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±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2kg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、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40kg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±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2kg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、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30kg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±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2kg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、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24kg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±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1kg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。</w:t>
      </w:r>
    </w:p>
    <w:p w:rsidR="00053D6A" w:rsidRDefault="00714CF2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、每一仓单的溢短不超过±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2%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，磅差不超过±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0.1%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053D6A" w:rsidRDefault="00714CF2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、每一交割单位的铅锭，必须是同一生产企业生产、同一牌号、同一注册商标、同一质量品级、同一块形、同一包装数量（捆重近似）的商品组成。</w:t>
      </w:r>
    </w:p>
    <w:p w:rsidR="00053D6A" w:rsidRDefault="00714CF2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、每一仓单的铅锭，必须是本所批准的注册品牌，须附有质量证明书。</w:t>
      </w:r>
    </w:p>
    <w:p w:rsidR="00053D6A" w:rsidRDefault="00714CF2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、仓单须由本所指定交割仓库按规定验收合格后出具。</w:t>
      </w:r>
    </w:p>
    <w:p w:rsidR="00053D6A" w:rsidRDefault="00714CF2">
      <w:pPr>
        <w:spacing w:line="500" w:lineRule="exact"/>
        <w:ind w:firstLineChars="200" w:firstLine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三、交易所认可的生产企业和注册品牌</w:t>
      </w:r>
    </w:p>
    <w:p w:rsidR="00053D6A" w:rsidRDefault="00714CF2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用于实物交割的铅锭，必须是交易所注册的品牌。具体的注册品牌和升贴水标准，由交易所另行规定并公告。</w:t>
      </w:r>
    </w:p>
    <w:p w:rsidR="00053D6A" w:rsidRDefault="00714CF2">
      <w:pPr>
        <w:spacing w:line="500" w:lineRule="exact"/>
        <w:ind w:firstLineChars="200" w:firstLine="600"/>
        <w:rPr>
          <w:rFonts w:ascii="方正黑体简体" w:eastAsia="方正黑体简体" w:hAnsi="方正黑体简体" w:cs="方正黑体简体"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sz w:val="30"/>
          <w:szCs w:val="30"/>
        </w:rPr>
        <w:t>四、指定交割仓库</w:t>
      </w:r>
    </w:p>
    <w:p w:rsidR="00053D6A" w:rsidRDefault="00714CF2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由交易所指定并另行公告，异地交割仓库升贴水标准由交易所规定并公告。</w:t>
      </w:r>
    </w:p>
    <w:sectPr w:rsidR="00053D6A" w:rsidSect="00276472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F2" w:rsidRDefault="00714CF2" w:rsidP="00276472">
      <w:r>
        <w:separator/>
      </w:r>
    </w:p>
  </w:endnote>
  <w:endnote w:type="continuationSeparator" w:id="0">
    <w:p w:rsidR="00714CF2" w:rsidRDefault="00714CF2" w:rsidP="002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700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6472" w:rsidRPr="00276472" w:rsidRDefault="0027647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64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64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64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4CF2" w:rsidRPr="00714CF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714CF2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2764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6472" w:rsidRDefault="00276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F2" w:rsidRDefault="00714CF2" w:rsidP="00276472">
      <w:r>
        <w:separator/>
      </w:r>
    </w:p>
  </w:footnote>
  <w:footnote w:type="continuationSeparator" w:id="0">
    <w:p w:rsidR="00714CF2" w:rsidRDefault="00714CF2" w:rsidP="00276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B1D19"/>
    <w:rsid w:val="00053D6A"/>
    <w:rsid w:val="00276472"/>
    <w:rsid w:val="00714CF2"/>
    <w:rsid w:val="77FB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CE42A3-CAAF-4EE8-8467-B8509D49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76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647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76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64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2</cp:revision>
  <dcterms:created xsi:type="dcterms:W3CDTF">2026-01-28T15:59:00Z</dcterms:created>
  <dcterms:modified xsi:type="dcterms:W3CDTF">2026-01-30T03:03:00Z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61EDDCF9D7F59095F8C179696AAE8A88</vt:lpwstr>
  </property>
</Properties>
</file>