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CE" w:rsidRDefault="00AD6083">
      <w:pPr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AD6083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AD6083" w:rsidRPr="00AD6083" w:rsidRDefault="00AD6083">
      <w:pPr>
        <w:jc w:val="left"/>
        <w:rPr>
          <w:rFonts w:ascii="Times New Roman" w:eastAsia="方正大标宋简体" w:hAnsi="Times New Roman" w:cs="Times New Roman" w:hint="eastAsia"/>
          <w:sz w:val="42"/>
          <w:szCs w:val="42"/>
        </w:rPr>
      </w:pPr>
    </w:p>
    <w:p w:rsidR="00AD6083" w:rsidRDefault="00AD6083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AD6083">
        <w:rPr>
          <w:rFonts w:ascii="Times New Roman" w:eastAsia="方正大标宋简体" w:hAnsi="Times New Roman" w:cs="Times New Roman"/>
          <w:sz w:val="42"/>
          <w:szCs w:val="42"/>
        </w:rPr>
        <w:t>上海期货交易所钢材期货交割商品</w:t>
      </w:r>
      <w:r w:rsidRPr="00AD6083">
        <w:rPr>
          <w:rFonts w:ascii="Times New Roman" w:eastAsia="方正大标宋简体" w:hAnsi="Times New Roman" w:cs="Times New Roman"/>
          <w:sz w:val="42"/>
          <w:szCs w:val="42"/>
        </w:rPr>
        <w:t>补充</w:t>
      </w:r>
    </w:p>
    <w:p w:rsidR="006C15CE" w:rsidRPr="00AD6083" w:rsidRDefault="00AD6083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AD6083">
        <w:rPr>
          <w:rFonts w:ascii="Times New Roman" w:eastAsia="方正大标宋简体" w:hAnsi="Times New Roman" w:cs="Times New Roman"/>
          <w:sz w:val="42"/>
          <w:szCs w:val="42"/>
        </w:rPr>
        <w:t>管理</w:t>
      </w:r>
      <w:r w:rsidRPr="00AD6083">
        <w:rPr>
          <w:rFonts w:ascii="Times New Roman" w:eastAsia="方正大标宋简体" w:hAnsi="Times New Roman" w:cs="Times New Roman"/>
          <w:sz w:val="42"/>
          <w:szCs w:val="42"/>
        </w:rPr>
        <w:t>规定</w:t>
      </w:r>
    </w:p>
    <w:p w:rsidR="006C15CE" w:rsidRDefault="006C15CE">
      <w:pPr>
        <w:widowControl/>
        <w:tabs>
          <w:tab w:val="left" w:pos="1230"/>
        </w:tabs>
        <w:jc w:val="center"/>
        <w:rPr>
          <w:rFonts w:ascii="Times New Roman" w:eastAsia="方正仿宋简体" w:hAnsi="Times New Roman" w:cs="Times New Roman"/>
          <w:sz w:val="30"/>
          <w:szCs w:val="30"/>
        </w:rPr>
      </w:pPr>
    </w:p>
    <w:p w:rsidR="006C15CE" w:rsidRDefault="00AD6083">
      <w:pPr>
        <w:widowControl/>
        <w:tabs>
          <w:tab w:val="left" w:pos="1230"/>
        </w:tabs>
        <w:jc w:val="center"/>
        <w:rPr>
          <w:rFonts w:ascii="Times New Roman" w:eastAsia="方正仿宋简体" w:hAnsi="Times New Roman" w:cs="Times New Roman"/>
          <w:b/>
          <w:bCs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>第一章</w:t>
      </w: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>总则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第一条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为了</w:t>
      </w:r>
      <w:r>
        <w:rPr>
          <w:rFonts w:ascii="Times New Roman" w:eastAsia="方正仿宋简体" w:hAnsi="Times New Roman" w:cs="Times New Roman"/>
          <w:sz w:val="30"/>
          <w:szCs w:val="30"/>
        </w:rPr>
        <w:t>规范上海期货交易所（</w:t>
      </w:r>
      <w:r>
        <w:rPr>
          <w:rFonts w:ascii="Times New Roman" w:eastAsia="方正仿宋简体" w:hAnsi="Times New Roman" w:cs="Times New Roman"/>
          <w:sz w:val="30"/>
          <w:szCs w:val="30"/>
        </w:rPr>
        <w:t>以下简称交易所</w:t>
      </w:r>
      <w:r>
        <w:rPr>
          <w:rFonts w:ascii="Times New Roman" w:eastAsia="方正仿宋简体" w:hAnsi="Times New Roman" w:cs="Times New Roman"/>
          <w:sz w:val="30"/>
          <w:szCs w:val="30"/>
        </w:rPr>
        <w:t>）钢材</w:t>
      </w:r>
      <w:r>
        <w:rPr>
          <w:rFonts w:ascii="Times New Roman" w:eastAsia="方正仿宋简体" w:hAnsi="Times New Roman" w:cs="Times New Roman"/>
          <w:sz w:val="30"/>
          <w:szCs w:val="30"/>
        </w:rPr>
        <w:t>期货交割商品</w:t>
      </w:r>
      <w:r>
        <w:rPr>
          <w:rFonts w:ascii="Times New Roman" w:eastAsia="方正仿宋简体" w:hAnsi="Times New Roman" w:cs="Times New Roman"/>
          <w:sz w:val="30"/>
          <w:szCs w:val="30"/>
        </w:rPr>
        <w:t>相关业务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，精简规则体系</w:t>
      </w:r>
      <w:r>
        <w:rPr>
          <w:rFonts w:ascii="Times New Roman" w:eastAsia="方正仿宋简体" w:hAnsi="Times New Roman" w:cs="Times New Roman"/>
          <w:sz w:val="30"/>
          <w:szCs w:val="30"/>
        </w:rPr>
        <w:t>，根据《上海期货交易所</w:t>
      </w:r>
      <w:r>
        <w:rPr>
          <w:rFonts w:ascii="Times New Roman" w:eastAsia="方正仿宋简体" w:hAnsi="Times New Roman" w:cs="Times New Roman"/>
          <w:sz w:val="30"/>
          <w:szCs w:val="30"/>
        </w:rPr>
        <w:t>螺纹钢期货业务细则</w:t>
      </w:r>
      <w:r>
        <w:rPr>
          <w:rFonts w:ascii="Times New Roman" w:eastAsia="方正仿宋简体" w:hAnsi="Times New Roman" w:cs="Times New Roman"/>
          <w:sz w:val="30"/>
          <w:szCs w:val="30"/>
        </w:rPr>
        <w:t>》《上海期货交易所</w:t>
      </w:r>
      <w:r>
        <w:rPr>
          <w:rFonts w:ascii="Times New Roman" w:eastAsia="方正仿宋简体" w:hAnsi="Times New Roman" w:cs="Times New Roman"/>
          <w:sz w:val="30"/>
          <w:szCs w:val="30"/>
        </w:rPr>
        <w:t>热轧卷板期货业务细则</w:t>
      </w:r>
      <w:r>
        <w:rPr>
          <w:rFonts w:ascii="Times New Roman" w:eastAsia="方正仿宋简体" w:hAnsi="Times New Roman" w:cs="Times New Roman"/>
          <w:sz w:val="30"/>
          <w:szCs w:val="30"/>
        </w:rPr>
        <w:t>》《上海期货交易所</w:t>
      </w:r>
      <w:r>
        <w:rPr>
          <w:rFonts w:ascii="Times New Roman" w:eastAsia="方正仿宋简体" w:hAnsi="Times New Roman" w:cs="Times New Roman"/>
          <w:sz w:val="30"/>
          <w:szCs w:val="30"/>
        </w:rPr>
        <w:t>不锈钢期货业务细则</w:t>
      </w:r>
      <w:r>
        <w:rPr>
          <w:rFonts w:ascii="Times New Roman" w:eastAsia="方正仿宋简体" w:hAnsi="Times New Roman" w:cs="Times New Roman"/>
          <w:sz w:val="30"/>
          <w:szCs w:val="30"/>
        </w:rPr>
        <w:t>》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等</w:t>
      </w:r>
      <w:r>
        <w:rPr>
          <w:rFonts w:ascii="Times New Roman" w:eastAsia="方正仿宋简体" w:hAnsi="Times New Roman" w:cs="Times New Roman"/>
          <w:sz w:val="30"/>
          <w:szCs w:val="30"/>
        </w:rPr>
        <w:t>相关业务规则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及现货市场贸易特点</w:t>
      </w:r>
      <w:r>
        <w:rPr>
          <w:rFonts w:ascii="Times New Roman" w:eastAsia="方正仿宋简体" w:hAnsi="Times New Roman" w:cs="Times New Roman"/>
          <w:sz w:val="30"/>
          <w:szCs w:val="30"/>
        </w:rPr>
        <w:t>，制定本规定。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第二条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交易所、会员、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标准仓单货主</w:t>
      </w:r>
      <w:r>
        <w:rPr>
          <w:rFonts w:ascii="Times New Roman" w:eastAsia="方正仿宋简体" w:hAnsi="Times New Roman" w:cs="Times New Roman"/>
          <w:sz w:val="30"/>
          <w:szCs w:val="30"/>
        </w:rPr>
        <w:t>、注册企业</w:t>
      </w:r>
      <w:r>
        <w:rPr>
          <w:rFonts w:ascii="Times New Roman" w:eastAsia="方正仿宋简体" w:hAnsi="Times New Roman" w:cs="Times New Roman"/>
          <w:sz w:val="30"/>
          <w:szCs w:val="30"/>
        </w:rPr>
        <w:t>、交割库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指定</w:t>
      </w:r>
      <w:r>
        <w:rPr>
          <w:rFonts w:ascii="Times New Roman" w:eastAsia="方正仿宋简体" w:hAnsi="Times New Roman" w:cs="Times New Roman"/>
          <w:sz w:val="30"/>
          <w:szCs w:val="30"/>
        </w:rPr>
        <w:t>检验机构</w:t>
      </w:r>
      <w:r>
        <w:rPr>
          <w:rFonts w:ascii="Times New Roman" w:eastAsia="方正仿宋简体" w:hAnsi="Times New Roman" w:cs="Times New Roman"/>
          <w:sz w:val="30"/>
          <w:szCs w:val="30"/>
        </w:rPr>
        <w:t>以及期货市场其他参与者</w:t>
      </w:r>
      <w:r>
        <w:rPr>
          <w:rFonts w:ascii="Times New Roman" w:eastAsia="方正仿宋简体" w:hAnsi="Times New Roman" w:cs="Times New Roman"/>
          <w:sz w:val="30"/>
          <w:szCs w:val="30"/>
        </w:rPr>
        <w:t>，应当遵守本规定。</w:t>
      </w:r>
      <w:bookmarkStart w:id="0" w:name="_GoBack"/>
      <w:bookmarkEnd w:id="0"/>
    </w:p>
    <w:p w:rsidR="006C15CE" w:rsidRDefault="006C15CE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6C15CE" w:rsidRDefault="00AD6083">
      <w:pPr>
        <w:widowControl/>
        <w:numPr>
          <w:ilvl w:val="0"/>
          <w:numId w:val="1"/>
        </w:numPr>
        <w:tabs>
          <w:tab w:val="left" w:pos="1230"/>
        </w:tabs>
        <w:jc w:val="center"/>
        <w:rPr>
          <w:rFonts w:ascii="Times New Roman" w:eastAsia="方正仿宋简体" w:hAnsi="Times New Roman" w:cs="Times New Roman"/>
          <w:b/>
          <w:bCs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b/>
          <w:bCs/>
          <w:sz w:val="30"/>
          <w:szCs w:val="30"/>
        </w:rPr>
        <w:t>钢材期货</w:t>
      </w: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>交割商品</w:t>
      </w: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>规格</w:t>
      </w:r>
      <w:r>
        <w:rPr>
          <w:rFonts w:ascii="Times New Roman" w:eastAsia="方正仿宋简体" w:hAnsi="Times New Roman" w:cs="Times New Roman" w:hint="eastAsia"/>
          <w:b/>
          <w:bCs/>
          <w:sz w:val="30"/>
          <w:szCs w:val="30"/>
        </w:rPr>
        <w:t>要求</w:t>
      </w:r>
    </w:p>
    <w:p w:rsidR="006C15CE" w:rsidRDefault="00AD6083">
      <w:pPr>
        <w:widowControl/>
        <w:tabs>
          <w:tab w:val="left" w:pos="1230"/>
        </w:tabs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第一节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螺纹钢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三</w:t>
      </w:r>
      <w:r>
        <w:rPr>
          <w:rFonts w:ascii="Times New Roman" w:eastAsia="方正仿宋简体" w:hAnsi="Times New Roman" w:cs="Times New Roman"/>
          <w:sz w:val="30"/>
          <w:szCs w:val="30"/>
        </w:rPr>
        <w:t>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螺纹钢仓</w:t>
      </w:r>
      <w:r>
        <w:rPr>
          <w:rFonts w:ascii="Times New Roman" w:eastAsia="方正仿宋简体" w:hAnsi="Times New Roman" w:cs="Times New Roman"/>
          <w:sz w:val="30"/>
          <w:szCs w:val="30"/>
        </w:rPr>
        <w:t>库标准仓单货主在进行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螺纹钢</w:t>
      </w:r>
      <w:r>
        <w:rPr>
          <w:rFonts w:ascii="Times New Roman" w:eastAsia="方正仿宋简体" w:hAnsi="Times New Roman" w:cs="Times New Roman"/>
          <w:sz w:val="30"/>
          <w:szCs w:val="30"/>
        </w:rPr>
        <w:t>期货合约卖出交割时，交割商品的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仓单应当符合下列要求：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每一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螺纹钢</w:t>
      </w:r>
      <w:r>
        <w:rPr>
          <w:rFonts w:ascii="Times New Roman" w:eastAsia="方正仿宋简体" w:hAnsi="Times New Roman" w:cs="Times New Roman"/>
          <w:sz w:val="30"/>
          <w:szCs w:val="30"/>
        </w:rPr>
        <w:t>，应当是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在交易所注册的生产企业生产的注册商品，并提供注册生产企业出具的产品质量证明书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lastRenderedPageBreak/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交割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螺纹钢</w:t>
      </w:r>
      <w:r>
        <w:rPr>
          <w:rFonts w:ascii="Times New Roman" w:eastAsia="方正仿宋简体" w:hAnsi="Times New Roman" w:cs="Times New Roman"/>
          <w:sz w:val="30"/>
          <w:szCs w:val="30"/>
        </w:rPr>
        <w:t>的每批商品应在生产日起的</w:t>
      </w:r>
      <w:r>
        <w:rPr>
          <w:rFonts w:ascii="Times New Roman" w:eastAsia="方正仿宋简体" w:hAnsi="Times New Roman" w:cs="Times New Roman"/>
          <w:sz w:val="30"/>
          <w:szCs w:val="30"/>
        </w:rPr>
        <w:t>45</w:t>
      </w:r>
      <w:r>
        <w:rPr>
          <w:rFonts w:ascii="Times New Roman" w:eastAsia="方正仿宋简体" w:hAnsi="Times New Roman" w:cs="Times New Roman"/>
          <w:sz w:val="30"/>
          <w:szCs w:val="30"/>
        </w:rPr>
        <w:t>天内入交割仓库方可制作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仓单，并且组成每一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螺纹钢</w:t>
      </w:r>
      <w:r>
        <w:rPr>
          <w:rFonts w:ascii="Times New Roman" w:eastAsia="方正仿宋简体" w:hAnsi="Times New Roman" w:cs="Times New Roman"/>
          <w:sz w:val="30"/>
          <w:szCs w:val="30"/>
        </w:rPr>
        <w:t>的生产日期应当不超过连续十日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，且以其中最早的生产日期作为该标准仓单的生产日期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3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仓单应当由本所交割仓库按规定验收后出具。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条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螺纹钢标准仓单货主在进行某一螺纹钢期货合约卖出交割时，交割商品公称直径分布应当符合下列要求：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/>
          <w:sz w:val="30"/>
          <w:szCs w:val="30"/>
        </w:rPr>
        <w:t>交割数量</w:t>
      </w:r>
      <w:r>
        <w:rPr>
          <w:rFonts w:ascii="Times New Roman" w:eastAsia="方正仿宋简体" w:hAnsi="Times New Roman"/>
          <w:sz w:val="30"/>
          <w:szCs w:val="30"/>
        </w:rPr>
        <w:t>≤2400</w:t>
      </w:r>
      <w:r>
        <w:rPr>
          <w:rFonts w:ascii="Times New Roman" w:eastAsia="方正仿宋简体" w:hAnsi="Times New Roman"/>
          <w:sz w:val="30"/>
          <w:szCs w:val="30"/>
        </w:rPr>
        <w:t>吨，可以是同一公称直径。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/>
          <w:sz w:val="30"/>
          <w:szCs w:val="30"/>
        </w:rPr>
        <w:t>2400</w:t>
      </w:r>
      <w:r>
        <w:rPr>
          <w:rFonts w:ascii="Times New Roman" w:eastAsia="方正仿宋简体" w:hAnsi="Times New Roman"/>
          <w:sz w:val="30"/>
          <w:szCs w:val="30"/>
        </w:rPr>
        <w:t>吨＜交割数量</w:t>
      </w:r>
      <w:r>
        <w:rPr>
          <w:rFonts w:ascii="Times New Roman" w:eastAsia="方正仿宋简体" w:hAnsi="Times New Roman"/>
          <w:sz w:val="30"/>
          <w:szCs w:val="30"/>
        </w:rPr>
        <w:t>≤9600</w:t>
      </w:r>
      <w:r>
        <w:rPr>
          <w:rFonts w:ascii="Times New Roman" w:eastAsia="方正仿宋简体" w:hAnsi="Times New Roman"/>
          <w:sz w:val="30"/>
          <w:szCs w:val="30"/>
        </w:rPr>
        <w:t>吨，至少是三个公称直径，并且每一公称直径交割数量不得高于其总交割数量的</w:t>
      </w:r>
      <w:r>
        <w:rPr>
          <w:rFonts w:ascii="Times New Roman" w:eastAsia="方正仿宋简体" w:hAnsi="Times New Roman"/>
          <w:sz w:val="30"/>
          <w:szCs w:val="30"/>
        </w:rPr>
        <w:t>40%</w:t>
      </w:r>
      <w:r>
        <w:rPr>
          <w:rFonts w:ascii="Times New Roman" w:eastAsia="方正仿宋简体" w:hAnsi="Times New Roman"/>
          <w:sz w:val="30"/>
          <w:szCs w:val="30"/>
        </w:rPr>
        <w:t>。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/>
          <w:sz w:val="30"/>
          <w:szCs w:val="30"/>
        </w:rPr>
        <w:t>交割数量＞</w:t>
      </w:r>
      <w:r>
        <w:rPr>
          <w:rFonts w:ascii="Times New Roman" w:eastAsia="方正仿宋简体" w:hAnsi="Times New Roman"/>
          <w:sz w:val="30"/>
          <w:szCs w:val="30"/>
        </w:rPr>
        <w:t>9600</w:t>
      </w:r>
      <w:r>
        <w:rPr>
          <w:rFonts w:ascii="Times New Roman" w:eastAsia="方正仿宋简体" w:hAnsi="Times New Roman"/>
          <w:sz w:val="30"/>
          <w:szCs w:val="30"/>
        </w:rPr>
        <w:t>吨，至少是四个公称直径，并且每一公称直径交割数量不得高于其总交割数量的</w:t>
      </w:r>
      <w:r>
        <w:rPr>
          <w:rFonts w:ascii="Times New Roman" w:eastAsia="方正仿宋简体" w:hAnsi="Times New Roman"/>
          <w:sz w:val="30"/>
          <w:szCs w:val="30"/>
        </w:rPr>
        <w:t>30%</w:t>
      </w:r>
      <w:r>
        <w:rPr>
          <w:rFonts w:ascii="Times New Roman" w:eastAsia="方正仿宋简体" w:hAnsi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同一标准仓单货主从交易所买入再卖出交割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及厂库交割</w:t>
      </w:r>
      <w:r>
        <w:rPr>
          <w:rFonts w:ascii="Times New Roman" w:eastAsia="方正仿宋简体" w:hAnsi="Times New Roman" w:cs="Times New Roman"/>
          <w:sz w:val="30"/>
          <w:szCs w:val="30"/>
        </w:rPr>
        <w:t>的商品除外。</w:t>
      </w:r>
    </w:p>
    <w:p w:rsidR="006C15CE" w:rsidRDefault="006C15CE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6C15CE" w:rsidRDefault="00AD6083">
      <w:pPr>
        <w:widowControl/>
        <w:tabs>
          <w:tab w:val="left" w:pos="1230"/>
        </w:tabs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第二节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线材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线材仓</w:t>
      </w:r>
      <w:r>
        <w:rPr>
          <w:rFonts w:ascii="Times New Roman" w:eastAsia="方正仿宋简体" w:hAnsi="Times New Roman" w:cs="Times New Roman"/>
          <w:sz w:val="30"/>
          <w:szCs w:val="30"/>
        </w:rPr>
        <w:t>库标准仓单货主在进行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线材</w:t>
      </w:r>
      <w:r>
        <w:rPr>
          <w:rFonts w:ascii="Times New Roman" w:eastAsia="方正仿宋简体" w:hAnsi="Times New Roman" w:cs="Times New Roman"/>
          <w:sz w:val="30"/>
          <w:szCs w:val="30"/>
        </w:rPr>
        <w:t>期货合约卖出交割时，交割商品的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仓单应当符合下列要求：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每一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线材</w:t>
      </w:r>
      <w:r>
        <w:rPr>
          <w:rFonts w:ascii="Times New Roman" w:eastAsia="方正仿宋简体" w:hAnsi="Times New Roman" w:cs="Times New Roman"/>
          <w:sz w:val="30"/>
          <w:szCs w:val="30"/>
        </w:rPr>
        <w:t>，应当是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在交易所注册的生产企业生产的注册商品，并提供注册生产企业出具的产品质量证明书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交割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线材</w:t>
      </w:r>
      <w:r>
        <w:rPr>
          <w:rFonts w:ascii="Times New Roman" w:eastAsia="方正仿宋简体" w:hAnsi="Times New Roman" w:cs="Times New Roman"/>
          <w:sz w:val="30"/>
          <w:szCs w:val="30"/>
        </w:rPr>
        <w:t>的每批商品应在生产日起的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30</w:t>
      </w:r>
      <w:r>
        <w:rPr>
          <w:rFonts w:ascii="Times New Roman" w:eastAsia="方正仿宋简体" w:hAnsi="Times New Roman" w:cs="Times New Roman"/>
          <w:sz w:val="30"/>
          <w:szCs w:val="30"/>
        </w:rPr>
        <w:t>天内入交割仓库方可制作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仓单，并且组成每一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线材</w:t>
      </w:r>
      <w:r>
        <w:rPr>
          <w:rFonts w:ascii="Times New Roman" w:eastAsia="方正仿宋简体" w:hAnsi="Times New Roman" w:cs="Times New Roman"/>
          <w:sz w:val="30"/>
          <w:szCs w:val="30"/>
        </w:rPr>
        <w:t>的生产</w:t>
      </w:r>
      <w:r>
        <w:rPr>
          <w:rFonts w:ascii="Times New Roman" w:eastAsia="方正仿宋简体" w:hAnsi="Times New Roman" w:cs="Times New Roman"/>
          <w:sz w:val="30"/>
          <w:szCs w:val="30"/>
        </w:rPr>
        <w:lastRenderedPageBreak/>
        <w:t>日期应当不超过连续十日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，且以其中最早的生产日期作为该标准仓单的生产日期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3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仓单应当由本所交割仓库按规定验收后出具。</w:t>
      </w:r>
    </w:p>
    <w:p w:rsidR="006C15CE" w:rsidRDefault="006C15CE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6C15CE" w:rsidRDefault="00AD6083">
      <w:pPr>
        <w:widowControl/>
        <w:tabs>
          <w:tab w:val="left" w:pos="1230"/>
        </w:tabs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第三节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热轧卷板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热轧卷板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仓</w:t>
      </w:r>
      <w:r>
        <w:rPr>
          <w:rFonts w:ascii="Times New Roman" w:eastAsia="方正仿宋简体" w:hAnsi="Times New Roman" w:cs="Times New Roman"/>
          <w:sz w:val="30"/>
          <w:szCs w:val="30"/>
        </w:rPr>
        <w:t>库标准仓单货主在进行热轧卷板期货合约卖出交割时，交割商品的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仓单应当符合下列要求：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每一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仓单的热轧卷板，应当是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在交易所注册的生产企业生产的注册商品，并提供注册生产企业出具的产品质量证明书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交割热轧卷板的每批商品应在生产日起的</w:t>
      </w:r>
      <w:r>
        <w:rPr>
          <w:rFonts w:ascii="Times New Roman" w:eastAsia="方正仿宋简体" w:hAnsi="Times New Roman" w:cs="Times New Roman"/>
          <w:sz w:val="30"/>
          <w:szCs w:val="30"/>
        </w:rPr>
        <w:t>45</w:t>
      </w:r>
      <w:r>
        <w:rPr>
          <w:rFonts w:ascii="Times New Roman" w:eastAsia="方正仿宋简体" w:hAnsi="Times New Roman" w:cs="Times New Roman"/>
          <w:sz w:val="30"/>
          <w:szCs w:val="30"/>
        </w:rPr>
        <w:t>天内入交割仓库方可制作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仓单，并且组成每一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仓单的热轧卷板的生产日期应当不超过连续十日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，且以其中最早的生产日期作为该标准仓单的生产日期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3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仓单应当由本所交割仓库按规定验收后出具。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可交割</w:t>
      </w:r>
      <w:proofErr w:type="gramStart"/>
      <w:r>
        <w:rPr>
          <w:rFonts w:ascii="Times New Roman" w:eastAsia="方正仿宋简体" w:hAnsi="Times New Roman" w:cs="Times New Roman"/>
          <w:sz w:val="30"/>
          <w:szCs w:val="30"/>
        </w:rPr>
        <w:t>卷重范围</w:t>
      </w:r>
      <w:proofErr w:type="gramEnd"/>
      <w:r>
        <w:rPr>
          <w:rFonts w:ascii="Times New Roman" w:eastAsia="方正仿宋简体" w:hAnsi="Times New Roman" w:cs="Times New Roman"/>
          <w:sz w:val="30"/>
          <w:szCs w:val="30"/>
        </w:rPr>
        <w:t>为</w:t>
      </w:r>
      <w:r>
        <w:rPr>
          <w:rFonts w:ascii="Times New Roman" w:eastAsia="方正仿宋简体" w:hAnsi="Times New Roman" w:cs="Times New Roman"/>
          <w:sz w:val="30"/>
          <w:szCs w:val="30"/>
        </w:rPr>
        <w:t>23-31</w:t>
      </w:r>
      <w:r>
        <w:rPr>
          <w:rFonts w:ascii="Times New Roman" w:eastAsia="方正仿宋简体" w:hAnsi="Times New Roman" w:cs="Times New Roman"/>
          <w:sz w:val="30"/>
          <w:szCs w:val="30"/>
        </w:rPr>
        <w:t>吨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卷。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七</w:t>
      </w:r>
      <w:r>
        <w:rPr>
          <w:rFonts w:ascii="Times New Roman" w:eastAsia="方正仿宋简体" w:hAnsi="Times New Roman" w:cs="Times New Roman"/>
          <w:sz w:val="30"/>
          <w:szCs w:val="30"/>
        </w:rPr>
        <w:t>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热轧卷板标准仓单货主在进行某一热轧卷板期货合约卖出交割时，交割商品厚度分布应当符合下列要求：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hint="eastAsia"/>
          <w:sz w:val="30"/>
          <w:szCs w:val="30"/>
        </w:rPr>
        <w:t>交割数量≤</w:t>
      </w:r>
      <w:r>
        <w:rPr>
          <w:rFonts w:ascii="Times New Roman" w:eastAsia="方正仿宋简体" w:hAnsi="Times New Roman" w:hint="eastAsia"/>
          <w:sz w:val="30"/>
          <w:szCs w:val="30"/>
        </w:rPr>
        <w:t>900</w:t>
      </w:r>
      <w:r>
        <w:rPr>
          <w:rFonts w:ascii="Times New Roman" w:eastAsia="方正仿宋简体" w:hAnsi="Times New Roman" w:hint="eastAsia"/>
          <w:sz w:val="30"/>
          <w:szCs w:val="30"/>
        </w:rPr>
        <w:t>吨，可以是同一厚度。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hint="eastAsia"/>
          <w:sz w:val="30"/>
          <w:szCs w:val="30"/>
        </w:rPr>
        <w:t>900</w:t>
      </w:r>
      <w:r>
        <w:rPr>
          <w:rFonts w:ascii="Times New Roman" w:eastAsia="方正仿宋简体" w:hAnsi="Times New Roman" w:hint="eastAsia"/>
          <w:sz w:val="30"/>
          <w:szCs w:val="30"/>
        </w:rPr>
        <w:t>吨</w:t>
      </w:r>
      <w:r>
        <w:rPr>
          <w:rFonts w:ascii="Times New Roman" w:eastAsia="方正仿宋简体" w:hAnsi="Times New Roman" w:hint="eastAsia"/>
          <w:sz w:val="30"/>
          <w:szCs w:val="30"/>
        </w:rPr>
        <w:t>&lt;</w:t>
      </w:r>
      <w:r>
        <w:rPr>
          <w:rFonts w:ascii="Times New Roman" w:eastAsia="方正仿宋简体" w:hAnsi="Times New Roman" w:hint="eastAsia"/>
          <w:sz w:val="30"/>
          <w:szCs w:val="30"/>
        </w:rPr>
        <w:t>交割数量≤</w:t>
      </w:r>
      <w:r>
        <w:rPr>
          <w:rFonts w:ascii="Times New Roman" w:eastAsia="方正仿宋简体" w:hAnsi="Times New Roman" w:hint="eastAsia"/>
          <w:sz w:val="30"/>
          <w:szCs w:val="30"/>
        </w:rPr>
        <w:t>1800</w:t>
      </w:r>
      <w:r>
        <w:rPr>
          <w:rFonts w:ascii="Times New Roman" w:eastAsia="方正仿宋简体" w:hAnsi="Times New Roman" w:hint="eastAsia"/>
          <w:sz w:val="30"/>
          <w:szCs w:val="30"/>
        </w:rPr>
        <w:t>吨，至少是两个厚度，并且每一厚度交割数量不得高于其总交割数量的</w:t>
      </w:r>
      <w:r>
        <w:rPr>
          <w:rFonts w:ascii="Times New Roman" w:eastAsia="方正仿宋简体" w:hAnsi="Times New Roman" w:hint="eastAsia"/>
          <w:sz w:val="30"/>
          <w:szCs w:val="30"/>
        </w:rPr>
        <w:t>60%</w:t>
      </w:r>
      <w:r>
        <w:rPr>
          <w:rFonts w:ascii="Times New Roman" w:eastAsia="方正仿宋简体" w:hAnsi="Times New Roman" w:hint="eastAsia"/>
          <w:sz w:val="30"/>
          <w:szCs w:val="30"/>
        </w:rPr>
        <w:t>。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hint="eastAsia"/>
          <w:sz w:val="30"/>
          <w:szCs w:val="30"/>
        </w:rPr>
        <w:t>1800</w:t>
      </w:r>
      <w:r>
        <w:rPr>
          <w:rFonts w:ascii="Times New Roman" w:eastAsia="方正仿宋简体" w:hAnsi="Times New Roman" w:hint="eastAsia"/>
          <w:sz w:val="30"/>
          <w:szCs w:val="30"/>
        </w:rPr>
        <w:t>吨</w:t>
      </w:r>
      <w:r>
        <w:rPr>
          <w:rFonts w:ascii="Times New Roman" w:eastAsia="方正仿宋简体" w:hAnsi="Times New Roman" w:hint="eastAsia"/>
          <w:sz w:val="30"/>
          <w:szCs w:val="30"/>
        </w:rPr>
        <w:t>&lt;</w:t>
      </w:r>
      <w:r>
        <w:rPr>
          <w:rFonts w:ascii="Times New Roman" w:eastAsia="方正仿宋简体" w:hAnsi="Times New Roman" w:hint="eastAsia"/>
          <w:sz w:val="30"/>
          <w:szCs w:val="30"/>
        </w:rPr>
        <w:t>交割数量≤</w:t>
      </w:r>
      <w:r>
        <w:rPr>
          <w:rFonts w:ascii="Times New Roman" w:eastAsia="方正仿宋简体" w:hAnsi="Times New Roman" w:hint="eastAsia"/>
          <w:sz w:val="30"/>
          <w:szCs w:val="30"/>
        </w:rPr>
        <w:t>3600</w:t>
      </w:r>
      <w:r>
        <w:rPr>
          <w:rFonts w:ascii="Times New Roman" w:eastAsia="方正仿宋简体" w:hAnsi="Times New Roman" w:hint="eastAsia"/>
          <w:sz w:val="30"/>
          <w:szCs w:val="30"/>
        </w:rPr>
        <w:t>吨，至少是三个厚度，每一</w:t>
      </w:r>
      <w:r>
        <w:rPr>
          <w:rFonts w:ascii="Times New Roman" w:eastAsia="方正仿宋简体" w:hAnsi="Times New Roman" w:hint="eastAsia"/>
          <w:sz w:val="30"/>
          <w:szCs w:val="30"/>
        </w:rPr>
        <w:lastRenderedPageBreak/>
        <w:t>厚度交割数量不得高于其总交割数量的</w:t>
      </w:r>
      <w:r>
        <w:rPr>
          <w:rFonts w:ascii="Times New Roman" w:eastAsia="方正仿宋简体" w:hAnsi="Times New Roman" w:hint="eastAsia"/>
          <w:sz w:val="30"/>
          <w:szCs w:val="30"/>
        </w:rPr>
        <w:t>45%</w:t>
      </w:r>
      <w:r>
        <w:rPr>
          <w:rFonts w:ascii="Times New Roman" w:eastAsia="方正仿宋简体" w:hAnsi="Times New Roman" w:hint="eastAsia"/>
          <w:sz w:val="30"/>
          <w:szCs w:val="30"/>
        </w:rPr>
        <w:t>。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hint="eastAsia"/>
          <w:sz w:val="30"/>
          <w:szCs w:val="30"/>
        </w:rPr>
        <w:t>3600</w:t>
      </w:r>
      <w:r>
        <w:rPr>
          <w:rFonts w:ascii="Times New Roman" w:eastAsia="方正仿宋简体" w:hAnsi="Times New Roman" w:hint="eastAsia"/>
          <w:sz w:val="30"/>
          <w:szCs w:val="30"/>
        </w:rPr>
        <w:t>吨</w:t>
      </w:r>
      <w:r>
        <w:rPr>
          <w:rFonts w:ascii="Times New Roman" w:eastAsia="方正仿宋简体" w:hAnsi="Times New Roman" w:hint="eastAsia"/>
          <w:sz w:val="30"/>
          <w:szCs w:val="30"/>
        </w:rPr>
        <w:t>&lt;</w:t>
      </w:r>
      <w:r>
        <w:rPr>
          <w:rFonts w:ascii="Times New Roman" w:eastAsia="方正仿宋简体" w:hAnsi="Times New Roman" w:hint="eastAsia"/>
          <w:sz w:val="30"/>
          <w:szCs w:val="30"/>
        </w:rPr>
        <w:t>交割数量≤</w:t>
      </w:r>
      <w:r>
        <w:rPr>
          <w:rFonts w:ascii="Times New Roman" w:eastAsia="方正仿宋简体" w:hAnsi="Times New Roman" w:hint="eastAsia"/>
          <w:sz w:val="30"/>
          <w:szCs w:val="30"/>
        </w:rPr>
        <w:t>7200</w:t>
      </w:r>
      <w:r>
        <w:rPr>
          <w:rFonts w:ascii="Times New Roman" w:eastAsia="方正仿宋简体" w:hAnsi="Times New Roman" w:hint="eastAsia"/>
          <w:sz w:val="30"/>
          <w:szCs w:val="30"/>
        </w:rPr>
        <w:t>吨，至少是四个厚度，每一厚度交割数量不得高于其总交割数量的</w:t>
      </w:r>
      <w:r>
        <w:rPr>
          <w:rFonts w:ascii="Times New Roman" w:eastAsia="方正仿宋简体" w:hAnsi="Times New Roman" w:hint="eastAsia"/>
          <w:sz w:val="30"/>
          <w:szCs w:val="30"/>
        </w:rPr>
        <w:t>35%</w:t>
      </w:r>
      <w:r>
        <w:rPr>
          <w:rFonts w:ascii="Times New Roman" w:eastAsia="方正仿宋简体" w:hAnsi="Times New Roman" w:hint="eastAsia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7200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&lt;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交割数量≤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12000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吨，至少是五个厚度，每一厚度交割数量不得高于其总交割数量的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25%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交割数量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&gt;12000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吨，至少是六个厚度，每一厚度交割数量不得高于其总交割数量的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20%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标准仓单货主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从交易所买入再卖出交割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及厂库交割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的商品除外。</w:t>
      </w:r>
    </w:p>
    <w:p w:rsidR="006C15CE" w:rsidRDefault="006C15CE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6C15CE" w:rsidRDefault="00AD6083">
      <w:pPr>
        <w:widowControl/>
        <w:numPr>
          <w:ilvl w:val="255"/>
          <w:numId w:val="0"/>
        </w:numPr>
        <w:tabs>
          <w:tab w:val="left" w:pos="1230"/>
        </w:tabs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第四节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不锈钢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八</w:t>
      </w:r>
      <w:r>
        <w:rPr>
          <w:rFonts w:ascii="Times New Roman" w:eastAsia="方正仿宋简体" w:hAnsi="Times New Roman" w:cs="Times New Roman"/>
          <w:sz w:val="30"/>
          <w:szCs w:val="30"/>
        </w:rPr>
        <w:t>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不锈钢仓</w:t>
      </w:r>
      <w:r>
        <w:rPr>
          <w:rFonts w:ascii="Times New Roman" w:eastAsia="方正仿宋简体" w:hAnsi="Times New Roman" w:cs="Times New Roman"/>
          <w:sz w:val="30"/>
          <w:szCs w:val="30"/>
        </w:rPr>
        <w:t>库标准仓单货主在进行不锈钢期货合约卖出交割时，交割商品的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仓单应当符合下列要求：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每批不锈钢应在生产日起的</w:t>
      </w:r>
      <w:r>
        <w:rPr>
          <w:rFonts w:ascii="Times New Roman" w:eastAsia="方正仿宋简体" w:hAnsi="Times New Roman" w:cs="Times New Roman"/>
          <w:sz w:val="30"/>
          <w:szCs w:val="30"/>
        </w:rPr>
        <w:t>45</w:t>
      </w:r>
      <w:r>
        <w:rPr>
          <w:rFonts w:ascii="Times New Roman" w:eastAsia="方正仿宋简体" w:hAnsi="Times New Roman" w:cs="Times New Roman"/>
          <w:sz w:val="30"/>
          <w:szCs w:val="30"/>
        </w:rPr>
        <w:t>天内入交割仓库，方可制作仓库标准仓单。每一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仓单的不锈钢生产日期应当不超过连续十五日。每一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仓单的有效期限为生产日起的</w:t>
      </w:r>
      <w:r>
        <w:rPr>
          <w:rFonts w:ascii="Times New Roman" w:eastAsia="方正仿宋简体" w:hAnsi="Times New Roman" w:cs="Times New Roman"/>
          <w:sz w:val="30"/>
          <w:szCs w:val="30"/>
        </w:rPr>
        <w:t>360</w:t>
      </w:r>
      <w:r>
        <w:rPr>
          <w:rFonts w:ascii="Times New Roman" w:eastAsia="方正仿宋简体" w:hAnsi="Times New Roman" w:cs="Times New Roman"/>
          <w:sz w:val="30"/>
          <w:szCs w:val="30"/>
        </w:rPr>
        <w:t>天内，以其中不锈钢最早生产日期作为该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标准</w:t>
      </w:r>
      <w:r>
        <w:rPr>
          <w:rFonts w:ascii="Times New Roman" w:eastAsia="方正仿宋简体" w:hAnsi="Times New Roman" w:cs="Times New Roman"/>
          <w:sz w:val="30"/>
          <w:szCs w:val="30"/>
        </w:rPr>
        <w:t>仓单的生产日期，且有效期应当覆盖该次交割的第二交割日。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不锈钢仓库标准仓单应当由本所交割仓库按规定验收后出具。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3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可交割</w:t>
      </w:r>
      <w:proofErr w:type="gramStart"/>
      <w:r>
        <w:rPr>
          <w:rFonts w:ascii="Times New Roman" w:eastAsia="方正仿宋简体" w:hAnsi="Times New Roman" w:cs="Times New Roman"/>
          <w:sz w:val="30"/>
          <w:szCs w:val="30"/>
        </w:rPr>
        <w:t>卷重范围</w:t>
      </w:r>
      <w:proofErr w:type="gramEnd"/>
      <w:r>
        <w:rPr>
          <w:rFonts w:ascii="Times New Roman" w:eastAsia="方正仿宋简体" w:hAnsi="Times New Roman" w:cs="Times New Roman"/>
          <w:sz w:val="30"/>
          <w:szCs w:val="30"/>
        </w:rPr>
        <w:t>为</w:t>
      </w:r>
      <w:r>
        <w:rPr>
          <w:rFonts w:ascii="Times New Roman" w:eastAsia="方正仿宋简体" w:hAnsi="Times New Roman" w:cs="Times New Roman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～</w:t>
      </w:r>
      <w:r>
        <w:rPr>
          <w:rFonts w:ascii="Times New Roman" w:eastAsia="方正仿宋简体" w:hAnsi="Times New Roman" w:cs="Times New Roman"/>
          <w:sz w:val="30"/>
          <w:szCs w:val="30"/>
        </w:rPr>
        <w:t>25</w:t>
      </w:r>
      <w:r>
        <w:rPr>
          <w:rFonts w:ascii="Times New Roman" w:eastAsia="方正仿宋简体" w:hAnsi="Times New Roman" w:cs="Times New Roman"/>
          <w:sz w:val="30"/>
          <w:szCs w:val="30"/>
        </w:rPr>
        <w:t>吨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卷。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lastRenderedPageBreak/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可交割的不锈钢厚度公差应当符合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期货合约的标准</w:t>
      </w:r>
      <w:r>
        <w:rPr>
          <w:rFonts w:ascii="Times New Roman" w:eastAsia="方正仿宋简体" w:hAnsi="Times New Roman" w:cs="Times New Roman"/>
          <w:sz w:val="30"/>
          <w:szCs w:val="30"/>
        </w:rPr>
        <w:t>要求，且不允许正公差。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九</w:t>
      </w:r>
      <w:r>
        <w:rPr>
          <w:rFonts w:ascii="Times New Roman" w:eastAsia="方正仿宋简体" w:hAnsi="Times New Roman" w:cs="Times New Roman"/>
          <w:sz w:val="30"/>
          <w:szCs w:val="30"/>
        </w:rPr>
        <w:t>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不锈钢标准仓单货主在进行某一不锈钢期货合约卖出交割时，交割商品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</w:t>
      </w:r>
      <w:r>
        <w:rPr>
          <w:rFonts w:ascii="Times New Roman" w:eastAsia="方正仿宋简体" w:hAnsi="Times New Roman" w:cs="Times New Roman"/>
          <w:sz w:val="30"/>
          <w:szCs w:val="30"/>
        </w:rPr>
        <w:t>宽度和厚度分布应当符合下列要求：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hint="eastAsia"/>
          <w:sz w:val="30"/>
          <w:szCs w:val="30"/>
        </w:rPr>
        <w:t>0</w:t>
      </w:r>
      <w:r>
        <w:rPr>
          <w:rFonts w:ascii="Times New Roman" w:eastAsia="方正仿宋简体" w:hAnsi="Times New Roman" w:hint="eastAsia"/>
          <w:sz w:val="30"/>
          <w:szCs w:val="30"/>
        </w:rPr>
        <w:t>吨≤交割数量≤</w:t>
      </w:r>
      <w:r>
        <w:rPr>
          <w:rFonts w:ascii="Times New Roman" w:eastAsia="方正仿宋简体" w:hAnsi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hint="eastAsia"/>
          <w:sz w:val="30"/>
          <w:szCs w:val="30"/>
        </w:rPr>
        <w:t>00</w:t>
      </w:r>
      <w:r>
        <w:rPr>
          <w:rFonts w:ascii="Times New Roman" w:eastAsia="方正仿宋简体" w:hAnsi="Times New Roman" w:hint="eastAsia"/>
          <w:sz w:val="30"/>
          <w:szCs w:val="30"/>
        </w:rPr>
        <w:t>吨</w:t>
      </w:r>
      <w:r>
        <w:rPr>
          <w:rFonts w:ascii="Times New Roman" w:eastAsia="方正仿宋简体" w:hAnsi="Times New Roman" w:hint="eastAsia"/>
          <w:sz w:val="30"/>
          <w:szCs w:val="30"/>
        </w:rPr>
        <w:t>，可以是同一厚度，宽度必须为</w:t>
      </w:r>
      <w:r>
        <w:rPr>
          <w:rFonts w:ascii="Times New Roman" w:eastAsia="方正仿宋简体" w:hAnsi="Times New Roman" w:hint="eastAsia"/>
          <w:sz w:val="30"/>
          <w:szCs w:val="30"/>
        </w:rPr>
        <w:t>1219mm</w:t>
      </w:r>
      <w:r>
        <w:rPr>
          <w:rFonts w:ascii="Times New Roman" w:eastAsia="方正仿宋简体" w:hAnsi="Times New Roman" w:hint="eastAsia"/>
          <w:sz w:val="30"/>
          <w:szCs w:val="30"/>
        </w:rPr>
        <w:t>。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hint="eastAsia"/>
          <w:sz w:val="30"/>
          <w:szCs w:val="30"/>
        </w:rPr>
        <w:t>00</w:t>
      </w:r>
      <w:r>
        <w:rPr>
          <w:rFonts w:ascii="Times New Roman" w:eastAsia="方正仿宋简体" w:hAnsi="Times New Roman" w:hint="eastAsia"/>
          <w:sz w:val="30"/>
          <w:szCs w:val="30"/>
        </w:rPr>
        <w:t>吨</w:t>
      </w:r>
      <w:r>
        <w:rPr>
          <w:rFonts w:ascii="Times New Roman" w:eastAsia="方正仿宋简体" w:hAnsi="Times New Roman" w:hint="eastAsia"/>
          <w:sz w:val="30"/>
          <w:szCs w:val="30"/>
        </w:rPr>
        <w:t>&lt;</w:t>
      </w:r>
      <w:r>
        <w:rPr>
          <w:rFonts w:ascii="Times New Roman" w:eastAsia="方正仿宋简体" w:hAnsi="Times New Roman" w:hint="eastAsia"/>
          <w:sz w:val="30"/>
          <w:szCs w:val="30"/>
        </w:rPr>
        <w:t>交割数量≤</w:t>
      </w:r>
      <w:r>
        <w:rPr>
          <w:rFonts w:ascii="Times New Roman" w:eastAsia="方正仿宋简体" w:hAnsi="Times New Roman" w:hint="eastAsia"/>
          <w:sz w:val="30"/>
          <w:szCs w:val="30"/>
        </w:rPr>
        <w:t>12</w:t>
      </w:r>
      <w:r>
        <w:rPr>
          <w:rFonts w:ascii="Times New Roman" w:eastAsia="方正仿宋简体" w:hAnsi="Times New Roman" w:hint="eastAsia"/>
          <w:sz w:val="30"/>
          <w:szCs w:val="30"/>
        </w:rPr>
        <w:t>00</w:t>
      </w:r>
      <w:r>
        <w:rPr>
          <w:rFonts w:ascii="Times New Roman" w:eastAsia="方正仿宋简体" w:hAnsi="Times New Roman" w:hint="eastAsia"/>
          <w:sz w:val="30"/>
          <w:szCs w:val="30"/>
        </w:rPr>
        <w:t>吨，至少是</w:t>
      </w:r>
      <w:r>
        <w:rPr>
          <w:rFonts w:ascii="Times New Roman" w:eastAsia="方正仿宋简体" w:hAnsi="Times New Roman" w:hint="eastAsia"/>
          <w:sz w:val="30"/>
          <w:szCs w:val="30"/>
        </w:rPr>
        <w:t>两</w:t>
      </w:r>
      <w:r>
        <w:rPr>
          <w:rFonts w:ascii="Times New Roman" w:eastAsia="方正仿宋简体" w:hAnsi="Times New Roman" w:hint="eastAsia"/>
          <w:sz w:val="30"/>
          <w:szCs w:val="30"/>
        </w:rPr>
        <w:t>个厚度，每一厚度交割数量不得高于其总交割数量的</w:t>
      </w:r>
      <w:r>
        <w:rPr>
          <w:rFonts w:ascii="Times New Roman" w:eastAsia="方正仿宋简体" w:hAnsi="Times New Roman" w:hint="eastAsia"/>
          <w:sz w:val="30"/>
          <w:szCs w:val="30"/>
        </w:rPr>
        <w:t>60</w:t>
      </w:r>
      <w:r>
        <w:rPr>
          <w:rFonts w:ascii="Times New Roman" w:eastAsia="方正仿宋简体" w:hAnsi="Times New Roman" w:hint="eastAsia"/>
          <w:sz w:val="30"/>
          <w:szCs w:val="30"/>
        </w:rPr>
        <w:t>%</w:t>
      </w:r>
      <w:r>
        <w:rPr>
          <w:rFonts w:ascii="Times New Roman" w:eastAsia="方正仿宋简体" w:hAnsi="Times New Roman" w:hint="eastAsia"/>
          <w:sz w:val="30"/>
          <w:szCs w:val="30"/>
        </w:rPr>
        <w:t>，宽度必须为</w:t>
      </w:r>
      <w:r>
        <w:rPr>
          <w:rFonts w:ascii="Times New Roman" w:eastAsia="方正仿宋简体" w:hAnsi="Times New Roman" w:hint="eastAsia"/>
          <w:sz w:val="30"/>
          <w:szCs w:val="30"/>
        </w:rPr>
        <w:t>1219mm</w:t>
      </w:r>
      <w:r>
        <w:rPr>
          <w:rFonts w:ascii="Times New Roman" w:eastAsia="方正仿宋简体" w:hAnsi="Times New Roman" w:hint="eastAsia"/>
          <w:sz w:val="30"/>
          <w:szCs w:val="30"/>
        </w:rPr>
        <w:t>。</w:t>
      </w:r>
    </w:p>
    <w:p w:rsidR="006C15CE" w:rsidRDefault="00AD6083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hint="eastAsia"/>
          <w:sz w:val="30"/>
          <w:szCs w:val="30"/>
        </w:rPr>
        <w:t>12</w:t>
      </w:r>
      <w:r>
        <w:rPr>
          <w:rFonts w:ascii="Times New Roman" w:eastAsia="方正仿宋简体" w:hAnsi="Times New Roman" w:hint="eastAsia"/>
          <w:sz w:val="30"/>
          <w:szCs w:val="30"/>
        </w:rPr>
        <w:t>00</w:t>
      </w:r>
      <w:r>
        <w:rPr>
          <w:rFonts w:ascii="Times New Roman" w:eastAsia="方正仿宋简体" w:hAnsi="Times New Roman" w:hint="eastAsia"/>
          <w:sz w:val="30"/>
          <w:szCs w:val="30"/>
        </w:rPr>
        <w:t>吨</w:t>
      </w:r>
      <w:r>
        <w:rPr>
          <w:rFonts w:ascii="Times New Roman" w:eastAsia="方正仿宋简体" w:hAnsi="Times New Roman" w:hint="eastAsia"/>
          <w:sz w:val="30"/>
          <w:szCs w:val="30"/>
        </w:rPr>
        <w:t>&lt;</w:t>
      </w:r>
      <w:r>
        <w:rPr>
          <w:rFonts w:ascii="Times New Roman" w:eastAsia="方正仿宋简体" w:hAnsi="Times New Roman" w:hint="eastAsia"/>
          <w:sz w:val="30"/>
          <w:szCs w:val="30"/>
        </w:rPr>
        <w:t>交割数量≤</w:t>
      </w:r>
      <w:r>
        <w:rPr>
          <w:rFonts w:ascii="Times New Roman" w:eastAsia="方正仿宋简体" w:hAnsi="Times New Roman" w:hint="eastAsia"/>
          <w:sz w:val="30"/>
          <w:szCs w:val="30"/>
        </w:rPr>
        <w:t>24</w:t>
      </w:r>
      <w:r>
        <w:rPr>
          <w:rFonts w:ascii="Times New Roman" w:eastAsia="方正仿宋简体" w:hAnsi="Times New Roman" w:hint="eastAsia"/>
          <w:sz w:val="30"/>
          <w:szCs w:val="30"/>
        </w:rPr>
        <w:t>00</w:t>
      </w:r>
      <w:r>
        <w:rPr>
          <w:rFonts w:ascii="Times New Roman" w:eastAsia="方正仿宋简体" w:hAnsi="Times New Roman" w:hint="eastAsia"/>
          <w:sz w:val="30"/>
          <w:szCs w:val="30"/>
        </w:rPr>
        <w:t>吨，至少是</w:t>
      </w:r>
      <w:r>
        <w:rPr>
          <w:rFonts w:ascii="Times New Roman" w:eastAsia="方正仿宋简体" w:hAnsi="Times New Roman" w:hint="eastAsia"/>
          <w:sz w:val="30"/>
          <w:szCs w:val="30"/>
        </w:rPr>
        <w:t>三</w:t>
      </w:r>
      <w:r>
        <w:rPr>
          <w:rFonts w:ascii="Times New Roman" w:eastAsia="方正仿宋简体" w:hAnsi="Times New Roman" w:hint="eastAsia"/>
          <w:sz w:val="30"/>
          <w:szCs w:val="30"/>
        </w:rPr>
        <w:t>个厚度，每一厚度交割数量不得高于其总交割数量的</w:t>
      </w:r>
      <w:r>
        <w:rPr>
          <w:rFonts w:ascii="Times New Roman" w:eastAsia="方正仿宋简体" w:hAnsi="Times New Roman" w:hint="eastAsia"/>
          <w:sz w:val="30"/>
          <w:szCs w:val="30"/>
        </w:rPr>
        <w:t>40</w:t>
      </w:r>
      <w:r>
        <w:rPr>
          <w:rFonts w:ascii="Times New Roman" w:eastAsia="方正仿宋简体" w:hAnsi="Times New Roman" w:hint="eastAsia"/>
          <w:sz w:val="30"/>
          <w:szCs w:val="30"/>
        </w:rPr>
        <w:t>%</w:t>
      </w:r>
      <w:r>
        <w:rPr>
          <w:rFonts w:ascii="Times New Roman" w:eastAsia="方正仿宋简体" w:hAnsi="Times New Roman" w:hint="eastAsia"/>
          <w:sz w:val="30"/>
          <w:szCs w:val="30"/>
        </w:rPr>
        <w:t>；最多两个宽度，</w:t>
      </w:r>
      <w:r>
        <w:rPr>
          <w:rFonts w:ascii="Times New Roman" w:eastAsia="方正仿宋简体" w:hAnsi="Times New Roman" w:hint="eastAsia"/>
          <w:sz w:val="30"/>
          <w:szCs w:val="30"/>
        </w:rPr>
        <w:t>1219mm</w:t>
      </w:r>
      <w:r>
        <w:rPr>
          <w:rFonts w:ascii="Times New Roman" w:eastAsia="方正仿宋简体" w:hAnsi="Times New Roman" w:hint="eastAsia"/>
          <w:sz w:val="30"/>
          <w:szCs w:val="30"/>
        </w:rPr>
        <w:t>不少于</w:t>
      </w:r>
      <w:r>
        <w:rPr>
          <w:rFonts w:ascii="Times New Roman" w:eastAsia="方正仿宋简体" w:hAnsi="Times New Roman" w:hint="eastAsia"/>
          <w:sz w:val="30"/>
          <w:szCs w:val="30"/>
        </w:rPr>
        <w:t>80%</w:t>
      </w:r>
      <w:r>
        <w:rPr>
          <w:rFonts w:ascii="Times New Roman" w:eastAsia="方正仿宋简体" w:hAnsi="Times New Roman" w:hint="eastAsia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交割数量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&gt;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吨，至少是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个厚度，每一厚度交割数量不得高于其总交割数量的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0%</w:t>
      </w:r>
      <w:r>
        <w:rPr>
          <w:rFonts w:ascii="Times New Roman" w:eastAsia="方正仿宋简体" w:hAnsi="Times New Roman" w:hint="eastAsia"/>
          <w:sz w:val="30"/>
          <w:szCs w:val="30"/>
        </w:rPr>
        <w:t>；最多三个宽度，</w:t>
      </w:r>
      <w:r>
        <w:rPr>
          <w:rFonts w:ascii="Times New Roman" w:eastAsia="方正仿宋简体" w:hAnsi="Times New Roman" w:hint="eastAsia"/>
          <w:sz w:val="30"/>
          <w:szCs w:val="30"/>
        </w:rPr>
        <w:t>1219mm</w:t>
      </w:r>
      <w:r>
        <w:rPr>
          <w:rFonts w:ascii="Times New Roman" w:eastAsia="方正仿宋简体" w:hAnsi="Times New Roman" w:hint="eastAsia"/>
          <w:sz w:val="30"/>
          <w:szCs w:val="30"/>
        </w:rPr>
        <w:t>不少于</w:t>
      </w:r>
      <w:r>
        <w:rPr>
          <w:rFonts w:ascii="Times New Roman" w:eastAsia="方正仿宋简体" w:hAnsi="Times New Roman" w:hint="eastAsia"/>
          <w:sz w:val="30"/>
          <w:szCs w:val="30"/>
        </w:rPr>
        <w:t>70%</w:t>
      </w:r>
      <w:r>
        <w:rPr>
          <w:rFonts w:ascii="Times New Roman" w:eastAsia="方正仿宋简体" w:hAnsi="Times New Roman" w:hint="eastAsia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同一标准仓单货主从交易所买入再卖出交割的商品除外。</w:t>
      </w:r>
    </w:p>
    <w:p w:rsidR="006C15CE" w:rsidRDefault="006C15CE">
      <w:pPr>
        <w:widowControl/>
        <w:numPr>
          <w:ilvl w:val="255"/>
          <w:numId w:val="0"/>
        </w:numPr>
        <w:tabs>
          <w:tab w:val="left" w:pos="1230"/>
        </w:tabs>
        <w:rPr>
          <w:rFonts w:ascii="Times New Roman" w:eastAsia="方正仿宋简体" w:hAnsi="Times New Roman" w:cs="Times New Roman"/>
          <w:sz w:val="30"/>
          <w:szCs w:val="30"/>
        </w:rPr>
      </w:pPr>
    </w:p>
    <w:p w:rsidR="006C15CE" w:rsidRDefault="00AD6083">
      <w:pPr>
        <w:widowControl/>
        <w:tabs>
          <w:tab w:val="left" w:pos="1230"/>
        </w:tabs>
        <w:jc w:val="center"/>
        <w:rPr>
          <w:rFonts w:ascii="Times New Roman" w:eastAsia="方正仿宋简体" w:hAnsi="Times New Roman" w:cs="Times New Roman"/>
          <w:b/>
          <w:bCs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b/>
          <w:bCs/>
          <w:sz w:val="30"/>
          <w:szCs w:val="30"/>
        </w:rPr>
        <w:t>三</w:t>
      </w: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>章</w:t>
      </w: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b/>
          <w:bCs/>
          <w:sz w:val="30"/>
          <w:szCs w:val="30"/>
        </w:rPr>
        <w:t>钢材期货厂库商品提货要求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第十条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螺纹钢厂库标准仓单货主申请提货的，厂库提供的出库商品规格（公称直径）分布应当符合下列要求：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厂库标准仓单货主提货数量</w:t>
      </w:r>
      <w:r>
        <w:rPr>
          <w:rFonts w:ascii="Times New Roman" w:eastAsia="方正仿宋简体" w:hAnsi="Times New Roman" w:cs="Times New Roman"/>
          <w:sz w:val="30"/>
          <w:szCs w:val="30"/>
        </w:rPr>
        <w:t>≤2400</w:t>
      </w:r>
      <w:r>
        <w:rPr>
          <w:rFonts w:ascii="Times New Roman" w:eastAsia="方正仿宋简体" w:hAnsi="Times New Roman" w:cs="Times New Roman"/>
          <w:sz w:val="30"/>
          <w:szCs w:val="30"/>
        </w:rPr>
        <w:t>吨，出库商品可以是同一公称直径或者一个以上公称直径。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2400</w:t>
      </w:r>
      <w:r>
        <w:rPr>
          <w:rFonts w:ascii="Times New Roman" w:eastAsia="方正仿宋简体" w:hAnsi="Times New Roman" w:cs="Times New Roman"/>
          <w:sz w:val="30"/>
          <w:szCs w:val="30"/>
        </w:rPr>
        <w:t>吨</w:t>
      </w:r>
      <w:r>
        <w:rPr>
          <w:rFonts w:ascii="Times New Roman" w:eastAsia="方正仿宋简体" w:hAnsi="Times New Roman" w:cs="Times New Roman"/>
          <w:sz w:val="30"/>
          <w:szCs w:val="30"/>
        </w:rPr>
        <w:t>&lt;</w:t>
      </w:r>
      <w:r>
        <w:rPr>
          <w:rFonts w:ascii="Times New Roman" w:eastAsia="方正仿宋简体" w:hAnsi="Times New Roman" w:cs="Times New Roman"/>
          <w:sz w:val="30"/>
          <w:szCs w:val="30"/>
        </w:rPr>
        <w:t>厂库标准仓单货主提货数量</w:t>
      </w:r>
      <w:r>
        <w:rPr>
          <w:rFonts w:ascii="Times New Roman" w:eastAsia="方正仿宋简体" w:hAnsi="Times New Roman" w:cs="Times New Roman"/>
          <w:sz w:val="30"/>
          <w:szCs w:val="30"/>
        </w:rPr>
        <w:t>≤9600</w:t>
      </w:r>
      <w:r>
        <w:rPr>
          <w:rFonts w:ascii="Times New Roman" w:eastAsia="方正仿宋简体" w:hAnsi="Times New Roman" w:cs="Times New Roman"/>
          <w:sz w:val="30"/>
          <w:szCs w:val="30"/>
        </w:rPr>
        <w:t>吨，出库商品至少是三个公称直径，并且每一公称直径提货数量不得高于其总提货数量的</w:t>
      </w:r>
      <w:r>
        <w:rPr>
          <w:rFonts w:ascii="Times New Roman" w:eastAsia="方正仿宋简体" w:hAnsi="Times New Roman" w:cs="Times New Roman"/>
          <w:sz w:val="30"/>
          <w:szCs w:val="30"/>
        </w:rPr>
        <w:t>40%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numPr>
          <w:ilvl w:val="0"/>
          <w:numId w:val="2"/>
        </w:numPr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厂库标准仓单货主提货数量</w:t>
      </w:r>
      <w:r>
        <w:rPr>
          <w:rFonts w:ascii="Times New Roman" w:eastAsia="方正仿宋简体" w:hAnsi="Times New Roman" w:cs="Times New Roman"/>
          <w:sz w:val="30"/>
          <w:szCs w:val="30"/>
        </w:rPr>
        <w:t>&gt;9600</w:t>
      </w:r>
      <w:r>
        <w:rPr>
          <w:rFonts w:ascii="Times New Roman" w:eastAsia="方正仿宋简体" w:hAnsi="Times New Roman" w:cs="Times New Roman"/>
          <w:sz w:val="30"/>
          <w:szCs w:val="30"/>
        </w:rPr>
        <w:t>吨，出库商品至少是四个公称直径，并且每一公称直径提货数量不得高于其总数量的</w:t>
      </w:r>
      <w:r>
        <w:rPr>
          <w:rFonts w:ascii="Times New Roman" w:eastAsia="方正仿宋简体" w:hAnsi="Times New Roman" w:cs="Times New Roman"/>
          <w:sz w:val="30"/>
          <w:szCs w:val="30"/>
        </w:rPr>
        <w:t>30%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十一</w:t>
      </w:r>
      <w:r>
        <w:rPr>
          <w:rFonts w:ascii="Times New Roman" w:eastAsia="方正仿宋简体" w:hAnsi="Times New Roman" w:cs="Times New Roman"/>
          <w:sz w:val="30"/>
          <w:szCs w:val="30"/>
        </w:rPr>
        <w:t>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热轧卷板厂库标准仓单货主向对应厂库申请提货的，厂库提供的出库商品规格（厚度分布）应当符合下列要求：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厂库标准仓单货主提货数量</w:t>
      </w:r>
      <w:r>
        <w:rPr>
          <w:rFonts w:ascii="Times New Roman" w:eastAsia="方正仿宋简体" w:hAnsi="Times New Roman" w:cs="Times New Roman"/>
          <w:sz w:val="30"/>
          <w:szCs w:val="30"/>
        </w:rPr>
        <w:t>≤900</w:t>
      </w:r>
      <w:r>
        <w:rPr>
          <w:rFonts w:ascii="Times New Roman" w:eastAsia="方正仿宋简体" w:hAnsi="Times New Roman" w:cs="Times New Roman"/>
          <w:sz w:val="30"/>
          <w:szCs w:val="30"/>
        </w:rPr>
        <w:t>吨，出库商品可以是同一厚度。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900</w:t>
      </w:r>
      <w:r>
        <w:rPr>
          <w:rFonts w:ascii="Times New Roman" w:eastAsia="方正仿宋简体" w:hAnsi="Times New Roman" w:cs="Times New Roman"/>
          <w:sz w:val="30"/>
          <w:szCs w:val="30"/>
        </w:rPr>
        <w:t>吨</w:t>
      </w:r>
      <w:r>
        <w:rPr>
          <w:rFonts w:ascii="Times New Roman" w:eastAsia="方正仿宋简体" w:hAnsi="Times New Roman" w:cs="Times New Roman"/>
          <w:sz w:val="30"/>
          <w:szCs w:val="30"/>
        </w:rPr>
        <w:t>&lt;</w:t>
      </w:r>
      <w:r>
        <w:rPr>
          <w:rFonts w:ascii="Times New Roman" w:eastAsia="方正仿宋简体" w:hAnsi="Times New Roman" w:cs="Times New Roman"/>
          <w:sz w:val="30"/>
          <w:szCs w:val="30"/>
        </w:rPr>
        <w:t>厂库标准仓单货主提货数量</w:t>
      </w:r>
      <w:r>
        <w:rPr>
          <w:rFonts w:ascii="Times New Roman" w:eastAsia="方正仿宋简体" w:hAnsi="Times New Roman" w:cs="Times New Roman"/>
          <w:sz w:val="30"/>
          <w:szCs w:val="30"/>
        </w:rPr>
        <w:t>≤1800</w:t>
      </w:r>
      <w:r>
        <w:rPr>
          <w:rFonts w:ascii="Times New Roman" w:eastAsia="方正仿宋简体" w:hAnsi="Times New Roman" w:cs="Times New Roman"/>
          <w:sz w:val="30"/>
          <w:szCs w:val="30"/>
        </w:rPr>
        <w:t>吨，出库商品至少是两个厚度，并且每一厚度提货数量不得高于其总提货数量的</w:t>
      </w:r>
      <w:r>
        <w:rPr>
          <w:rFonts w:ascii="Times New Roman" w:eastAsia="方正仿宋简体" w:hAnsi="Times New Roman" w:cs="Times New Roman"/>
          <w:sz w:val="30"/>
          <w:szCs w:val="30"/>
        </w:rPr>
        <w:t>60%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1800</w:t>
      </w:r>
      <w:r>
        <w:rPr>
          <w:rFonts w:ascii="Times New Roman" w:eastAsia="方正仿宋简体" w:hAnsi="Times New Roman" w:cs="Times New Roman"/>
          <w:sz w:val="30"/>
          <w:szCs w:val="30"/>
        </w:rPr>
        <w:t>吨</w:t>
      </w:r>
      <w:r>
        <w:rPr>
          <w:rFonts w:ascii="Times New Roman" w:eastAsia="方正仿宋简体" w:hAnsi="Times New Roman" w:cs="Times New Roman"/>
          <w:sz w:val="30"/>
          <w:szCs w:val="30"/>
        </w:rPr>
        <w:t>&lt;</w:t>
      </w:r>
      <w:r>
        <w:rPr>
          <w:rFonts w:ascii="Times New Roman" w:eastAsia="方正仿宋简体" w:hAnsi="Times New Roman" w:cs="Times New Roman"/>
          <w:sz w:val="30"/>
          <w:szCs w:val="30"/>
        </w:rPr>
        <w:t>厂库标准仓单货主提货数量</w:t>
      </w:r>
      <w:r>
        <w:rPr>
          <w:rFonts w:ascii="Times New Roman" w:eastAsia="方正仿宋简体" w:hAnsi="Times New Roman" w:cs="Times New Roman"/>
          <w:sz w:val="30"/>
          <w:szCs w:val="30"/>
        </w:rPr>
        <w:t>≤3600</w:t>
      </w:r>
      <w:r>
        <w:rPr>
          <w:rFonts w:ascii="Times New Roman" w:eastAsia="方正仿宋简体" w:hAnsi="Times New Roman" w:cs="Times New Roman"/>
          <w:sz w:val="30"/>
          <w:szCs w:val="30"/>
        </w:rPr>
        <w:t>吨，出库商品至少是三个厚度，并且每一厚度提货数量不得高于其总提货数量的</w:t>
      </w:r>
      <w:r>
        <w:rPr>
          <w:rFonts w:ascii="Times New Roman" w:eastAsia="方正仿宋简体" w:hAnsi="Times New Roman" w:cs="Times New Roman"/>
          <w:sz w:val="30"/>
          <w:szCs w:val="30"/>
        </w:rPr>
        <w:t>45%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3600</w:t>
      </w:r>
      <w:r>
        <w:rPr>
          <w:rFonts w:ascii="Times New Roman" w:eastAsia="方正仿宋简体" w:hAnsi="Times New Roman" w:cs="Times New Roman"/>
          <w:sz w:val="30"/>
          <w:szCs w:val="30"/>
        </w:rPr>
        <w:t>吨</w:t>
      </w:r>
      <w:r>
        <w:rPr>
          <w:rFonts w:ascii="Times New Roman" w:eastAsia="方正仿宋简体" w:hAnsi="Times New Roman" w:cs="Times New Roman"/>
          <w:sz w:val="30"/>
          <w:szCs w:val="30"/>
        </w:rPr>
        <w:t>&lt;</w:t>
      </w:r>
      <w:r>
        <w:rPr>
          <w:rFonts w:ascii="Times New Roman" w:eastAsia="方正仿宋简体" w:hAnsi="Times New Roman" w:cs="Times New Roman"/>
          <w:sz w:val="30"/>
          <w:szCs w:val="30"/>
        </w:rPr>
        <w:t>厂库标准仓单货主提货数量</w:t>
      </w:r>
      <w:r>
        <w:rPr>
          <w:rFonts w:ascii="Times New Roman" w:eastAsia="方正仿宋简体" w:hAnsi="Times New Roman" w:cs="Times New Roman"/>
          <w:sz w:val="30"/>
          <w:szCs w:val="30"/>
        </w:rPr>
        <w:t>≤7200</w:t>
      </w:r>
      <w:r>
        <w:rPr>
          <w:rFonts w:ascii="Times New Roman" w:eastAsia="方正仿宋简体" w:hAnsi="Times New Roman" w:cs="Times New Roman"/>
          <w:sz w:val="30"/>
          <w:szCs w:val="30"/>
        </w:rPr>
        <w:t>吨，出库商品至少是四个厚度，并且每一厚度提货数量不得高于其总提货数量的</w:t>
      </w:r>
      <w:r>
        <w:rPr>
          <w:rFonts w:ascii="Times New Roman" w:eastAsia="方正仿宋简体" w:hAnsi="Times New Roman" w:cs="Times New Roman"/>
          <w:sz w:val="30"/>
          <w:szCs w:val="30"/>
        </w:rPr>
        <w:t>35%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7200</w:t>
      </w:r>
      <w:r>
        <w:rPr>
          <w:rFonts w:ascii="Times New Roman" w:eastAsia="方正仿宋简体" w:hAnsi="Times New Roman" w:cs="Times New Roman"/>
          <w:sz w:val="30"/>
          <w:szCs w:val="30"/>
        </w:rPr>
        <w:t>吨</w:t>
      </w:r>
      <w:r>
        <w:rPr>
          <w:rFonts w:ascii="Times New Roman" w:eastAsia="方正仿宋简体" w:hAnsi="Times New Roman" w:cs="Times New Roman"/>
          <w:sz w:val="30"/>
          <w:szCs w:val="30"/>
        </w:rPr>
        <w:t>&lt;</w:t>
      </w:r>
      <w:r>
        <w:rPr>
          <w:rFonts w:ascii="Times New Roman" w:eastAsia="方正仿宋简体" w:hAnsi="Times New Roman" w:cs="Times New Roman"/>
          <w:sz w:val="30"/>
          <w:szCs w:val="30"/>
        </w:rPr>
        <w:t>厂库标准仓单货主提货数量</w:t>
      </w:r>
      <w:r>
        <w:rPr>
          <w:rFonts w:ascii="Times New Roman" w:eastAsia="方正仿宋简体" w:hAnsi="Times New Roman" w:cs="Times New Roman"/>
          <w:sz w:val="30"/>
          <w:szCs w:val="30"/>
        </w:rPr>
        <w:t>≤12000</w:t>
      </w:r>
      <w:r>
        <w:rPr>
          <w:rFonts w:ascii="Times New Roman" w:eastAsia="方正仿宋简体" w:hAnsi="Times New Roman" w:cs="Times New Roman"/>
          <w:sz w:val="30"/>
          <w:szCs w:val="30"/>
        </w:rPr>
        <w:t>吨，出库商品至少是五个厚度，并且每一厚度提货数量不得高于其总提货数量的</w:t>
      </w:r>
      <w:r>
        <w:rPr>
          <w:rFonts w:ascii="Times New Roman" w:eastAsia="方正仿宋简体" w:hAnsi="Times New Roman" w:cs="Times New Roman"/>
          <w:sz w:val="30"/>
          <w:szCs w:val="30"/>
        </w:rPr>
        <w:t>25%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numPr>
          <w:ilvl w:val="0"/>
          <w:numId w:val="3"/>
        </w:numPr>
        <w:tabs>
          <w:tab w:val="left" w:pos="1230"/>
        </w:tabs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厂库标准仓单货主提货数量</w:t>
      </w:r>
      <w:r>
        <w:rPr>
          <w:rFonts w:ascii="Times New Roman" w:eastAsia="方正仿宋简体" w:hAnsi="Times New Roman" w:cs="Times New Roman"/>
          <w:sz w:val="30"/>
          <w:szCs w:val="30"/>
        </w:rPr>
        <w:t>&gt;12000</w:t>
      </w:r>
      <w:r>
        <w:rPr>
          <w:rFonts w:ascii="Times New Roman" w:eastAsia="方正仿宋简体" w:hAnsi="Times New Roman" w:cs="Times New Roman"/>
          <w:sz w:val="30"/>
          <w:szCs w:val="30"/>
        </w:rPr>
        <w:t>吨，出库商品至少是六个厚度，并且每一厚度提货数量不得高于其总提货数量的</w:t>
      </w:r>
      <w:r>
        <w:rPr>
          <w:rFonts w:ascii="Times New Roman" w:eastAsia="方正仿宋简体" w:hAnsi="Times New Roman" w:cs="Times New Roman"/>
          <w:sz w:val="30"/>
          <w:szCs w:val="30"/>
        </w:rPr>
        <w:t>20%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6C15CE" w:rsidRDefault="00AD6083">
      <w:pPr>
        <w:widowControl/>
        <w:numPr>
          <w:ilvl w:val="255"/>
          <w:numId w:val="0"/>
        </w:numPr>
        <w:tabs>
          <w:tab w:val="left" w:pos="1230"/>
        </w:tabs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第十二条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厂库和标准仓单货主经双方协商同意，可以在提交提货申请的时候选择协商提货的方式，由双方另行确定发货时间和发货计划，厂库标准仓单被注销，视同转为现货，不再按相关办法中的有关规定办理。但双方应保留好相关协议。</w:t>
      </w:r>
    </w:p>
    <w:p w:rsidR="006C15CE" w:rsidRDefault="006C15CE">
      <w:pPr>
        <w:widowControl/>
        <w:tabs>
          <w:tab w:val="left" w:pos="1230"/>
        </w:tabs>
        <w:rPr>
          <w:rFonts w:ascii="Times New Roman" w:eastAsia="方正仿宋简体" w:hAnsi="Times New Roman" w:cs="Times New Roman"/>
          <w:sz w:val="30"/>
          <w:szCs w:val="30"/>
        </w:rPr>
      </w:pPr>
    </w:p>
    <w:p w:rsidR="006C15CE" w:rsidRDefault="00AD6083">
      <w:pPr>
        <w:widowControl/>
        <w:tabs>
          <w:tab w:val="left" w:pos="1230"/>
        </w:tabs>
        <w:jc w:val="center"/>
        <w:rPr>
          <w:rFonts w:ascii="Times New Roman" w:eastAsia="方正仿宋简体" w:hAnsi="Times New Roman" w:cs="Times New Roman"/>
          <w:b/>
          <w:bCs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b/>
          <w:bCs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>章</w:t>
      </w: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b/>
          <w:bCs/>
          <w:sz w:val="30"/>
          <w:szCs w:val="30"/>
        </w:rPr>
        <w:t>附则</w:t>
      </w:r>
    </w:p>
    <w:p w:rsidR="006C15CE" w:rsidRDefault="00AD6083">
      <w:pPr>
        <w:ind w:firstLine="57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第十三条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本规定未尽事宜，按照交易所相关业务规则的规定执行。</w:t>
      </w:r>
    </w:p>
    <w:p w:rsidR="006C15CE" w:rsidRDefault="00AD6083">
      <w:pPr>
        <w:ind w:firstLine="57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第十四条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规定的</w:t>
      </w:r>
      <w:r>
        <w:rPr>
          <w:rFonts w:ascii="Times New Roman" w:eastAsia="方正仿宋简体" w:hAnsi="Times New Roman" w:cs="Times New Roman"/>
          <w:sz w:val="30"/>
          <w:szCs w:val="30"/>
        </w:rPr>
        <w:t>解释权属于上海期货交易所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6C15CE" w:rsidRDefault="00AD6083">
      <w:pPr>
        <w:ind w:firstLine="57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第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十五</w:t>
      </w:r>
      <w:r>
        <w:rPr>
          <w:rFonts w:ascii="Times New Roman" w:eastAsia="方正仿宋简体" w:hAnsi="Times New Roman" w:cs="Times New Roman"/>
          <w:sz w:val="30"/>
          <w:szCs w:val="30"/>
        </w:rPr>
        <w:t>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本规定自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发布之日起</w:t>
      </w:r>
      <w:r>
        <w:rPr>
          <w:rFonts w:ascii="Times New Roman" w:eastAsia="方正仿宋简体" w:hAnsi="Times New Roman" w:cs="Times New Roman"/>
          <w:sz w:val="30"/>
          <w:szCs w:val="30"/>
        </w:rPr>
        <w:t>实施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，原</w:t>
      </w:r>
      <w:r>
        <w:rPr>
          <w:rFonts w:ascii="Times New Roman" w:eastAsia="方正仿宋简体" w:hAnsi="Times New Roman" w:cs="Times New Roman"/>
          <w:sz w:val="30"/>
          <w:szCs w:val="30"/>
        </w:rPr>
        <w:t>《螺纹钢交割商品补充规定》《热轧卷板交割商品补充规定》《关于不锈钢期货交割商品补充规定的通知》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（【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】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91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号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）同时废止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sectPr w:rsidR="006C15CE" w:rsidSect="00AD6083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6083">
      <w:r>
        <w:separator/>
      </w:r>
    </w:p>
  </w:endnote>
  <w:endnote w:type="continuationSeparator" w:id="0">
    <w:p w:rsidR="00000000" w:rsidRDefault="00AD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CE" w:rsidRDefault="00AD60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15CE" w:rsidRPr="00AD6083" w:rsidRDefault="00AD608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608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D608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AD608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- 7 -</w:t>
                          </w:r>
                          <w:r w:rsidRPr="00AD608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C15CE" w:rsidRPr="00AD6083" w:rsidRDefault="00AD6083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608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AD608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AD608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- 7 -</w:t>
                    </w:r>
                    <w:r w:rsidRPr="00AD608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D6083">
      <w:r>
        <w:separator/>
      </w:r>
    </w:p>
  </w:footnote>
  <w:footnote w:type="continuationSeparator" w:id="0">
    <w:p w:rsidR="00000000" w:rsidRDefault="00AD6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BB1D78"/>
    <w:multiLevelType w:val="singleLevel"/>
    <w:tmpl w:val="9ABB1D78"/>
    <w:lvl w:ilvl="0">
      <w:start w:val="6"/>
      <w:numFmt w:val="decimal"/>
      <w:suff w:val="nothing"/>
      <w:lvlText w:val="（%1）"/>
      <w:lvlJc w:val="left"/>
    </w:lvl>
  </w:abstractNum>
  <w:abstractNum w:abstractNumId="1">
    <w:nsid w:val="FBFCA80F"/>
    <w:multiLevelType w:val="singleLevel"/>
    <w:tmpl w:val="FBFCA80F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6B86BCF8"/>
    <w:multiLevelType w:val="singleLevel"/>
    <w:tmpl w:val="6B86BCF8"/>
    <w:lvl w:ilvl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E7"/>
    <w:rsid w:val="003B6F80"/>
    <w:rsid w:val="003E7422"/>
    <w:rsid w:val="003F4242"/>
    <w:rsid w:val="004D6FBD"/>
    <w:rsid w:val="00583399"/>
    <w:rsid w:val="006C15CE"/>
    <w:rsid w:val="0076076E"/>
    <w:rsid w:val="0091312D"/>
    <w:rsid w:val="00A87CB6"/>
    <w:rsid w:val="00AD6083"/>
    <w:rsid w:val="00B77AE7"/>
    <w:rsid w:val="00B97251"/>
    <w:rsid w:val="00C926BD"/>
    <w:rsid w:val="00CD4C86"/>
    <w:rsid w:val="00CD6CEE"/>
    <w:rsid w:val="00CF6F1A"/>
    <w:rsid w:val="00FB7263"/>
    <w:rsid w:val="0EA576DD"/>
    <w:rsid w:val="0FFDDB37"/>
    <w:rsid w:val="33F3D79A"/>
    <w:rsid w:val="36DF1E36"/>
    <w:rsid w:val="3D7F1B6A"/>
    <w:rsid w:val="3DFFC109"/>
    <w:rsid w:val="4FBB781F"/>
    <w:rsid w:val="4FFF661B"/>
    <w:rsid w:val="5DFD6EDC"/>
    <w:rsid w:val="65FF18F9"/>
    <w:rsid w:val="75B3BC62"/>
    <w:rsid w:val="75FB68F9"/>
    <w:rsid w:val="76CF5B31"/>
    <w:rsid w:val="79FD2790"/>
    <w:rsid w:val="79FE998D"/>
    <w:rsid w:val="7D3B33CB"/>
    <w:rsid w:val="7D562C9B"/>
    <w:rsid w:val="7DC5444F"/>
    <w:rsid w:val="7F57F5B5"/>
    <w:rsid w:val="7F7777EC"/>
    <w:rsid w:val="7FDF755E"/>
    <w:rsid w:val="7FDF7CED"/>
    <w:rsid w:val="7FFCA6B4"/>
    <w:rsid w:val="7FFF49D3"/>
    <w:rsid w:val="7FFFB395"/>
    <w:rsid w:val="879FDD36"/>
    <w:rsid w:val="87CF246A"/>
    <w:rsid w:val="8DDEBA8C"/>
    <w:rsid w:val="AFFF67E3"/>
    <w:rsid w:val="B1FB6FF1"/>
    <w:rsid w:val="C93DD475"/>
    <w:rsid w:val="CB7D82D5"/>
    <w:rsid w:val="DDFBAB53"/>
    <w:rsid w:val="DF3F71F9"/>
    <w:rsid w:val="DF4E50D6"/>
    <w:rsid w:val="DFBFFC3A"/>
    <w:rsid w:val="DFCC2BA4"/>
    <w:rsid w:val="DFDF1668"/>
    <w:rsid w:val="DFDF270B"/>
    <w:rsid w:val="E2DF3282"/>
    <w:rsid w:val="E5D4DEBC"/>
    <w:rsid w:val="E71F5DA1"/>
    <w:rsid w:val="ED2FD696"/>
    <w:rsid w:val="EF755822"/>
    <w:rsid w:val="EF915447"/>
    <w:rsid w:val="F57A1006"/>
    <w:rsid w:val="F6BF71E8"/>
    <w:rsid w:val="F6EFAEC5"/>
    <w:rsid w:val="F6FB7AD9"/>
    <w:rsid w:val="F7BDA1F3"/>
    <w:rsid w:val="F7FF8596"/>
    <w:rsid w:val="F9FFD668"/>
    <w:rsid w:val="FB1628E9"/>
    <w:rsid w:val="FBBFD1B9"/>
    <w:rsid w:val="FBF9FABC"/>
    <w:rsid w:val="FC7B8865"/>
    <w:rsid w:val="FF1EE5D6"/>
    <w:rsid w:val="FF5DC6D0"/>
    <w:rsid w:val="FF643896"/>
    <w:rsid w:val="FF7F36B8"/>
    <w:rsid w:val="FFF7E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BD6C68E-6F98-4FE8-B4C4-258EFBB4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463BB-A291-44E6-9DB8-8EB87FAC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2755</Words>
  <Characters>277</Characters>
  <Application>Microsoft Office Word</Application>
  <DocSecurity>0</DocSecurity>
  <Lines>2</Lines>
  <Paragraphs>6</Paragraphs>
  <ScaleCrop>false</ScaleCrop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张骋</dc:creator>
  <cp:lastModifiedBy>shfe</cp:lastModifiedBy>
  <cp:revision>15</cp:revision>
  <dcterms:created xsi:type="dcterms:W3CDTF">2025-07-19T18:27:00Z</dcterms:created>
  <dcterms:modified xsi:type="dcterms:W3CDTF">2025-12-04T10:10:00Z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eyJoZGlkIjoiM2ViODRmMWQ3MDIwY2QwOWVmZjVjMzkzMjkzZjI3NmYiLCJ1c2VySWQiOiIxNTYyMTc5MzY1In0=</vt:lpwstr>
  </property>
  <property fmtid="{D5CDD505-2E9C-101B-9397-08002B2CF9AE}" pid="3" name="KSOProductBuildVer">
    <vt:lpwstr>2052-11.8.2.12219</vt:lpwstr>
  </property>
  <property fmtid="{D5CDD505-2E9C-101B-9397-08002B2CF9AE}" pid="4" name="ICV">
    <vt:lpwstr>CCE30D08AA2B3FF9025C316968265DBA</vt:lpwstr>
  </property>
</Properties>
</file>