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11B9">
      <w:pPr>
        <w:jc w:val="left"/>
        <w:rPr>
          <w:rFonts w:ascii="Times New Roman" w:hAnsi="Times New Roman" w:eastAsia="方正大标宋简体" w:cs="Times New Roman"/>
          <w:sz w:val="42"/>
          <w:szCs w:val="42"/>
        </w:rPr>
      </w:pPr>
    </w:p>
    <w:p w14:paraId="5056274B">
      <w:pPr>
        <w:jc w:val="left"/>
        <w:rPr>
          <w:rFonts w:hint="eastAsia" w:ascii="Times New Roman" w:hAnsi="Times New Roman" w:eastAsia="方正大标宋简体" w:cs="Times New Roman"/>
          <w:sz w:val="42"/>
          <w:szCs w:val="42"/>
        </w:rPr>
      </w:pPr>
    </w:p>
    <w:p w14:paraId="080578ED">
      <w:pPr>
        <w:jc w:val="center"/>
        <w:rPr>
          <w:rFonts w:ascii="Times New Roman" w:hAnsi="Times New Roman" w:eastAsia="方正大标宋简体" w:cs="Times New Roman"/>
          <w:sz w:val="42"/>
          <w:szCs w:val="42"/>
        </w:rPr>
      </w:pPr>
      <w:bookmarkStart w:id="0" w:name="_GoBack"/>
      <w:r>
        <w:rPr>
          <w:rFonts w:ascii="Times New Roman" w:hAnsi="Times New Roman" w:eastAsia="方正大标宋简体" w:cs="Times New Roman"/>
          <w:sz w:val="42"/>
          <w:szCs w:val="42"/>
        </w:rPr>
        <w:t>上海期货交易所钢材期货交割商品补充</w:t>
      </w:r>
    </w:p>
    <w:p w14:paraId="20515D57">
      <w:pPr>
        <w:jc w:val="center"/>
        <w:rPr>
          <w:rFonts w:ascii="Times New Roman" w:hAnsi="Times New Roman" w:eastAsia="方正大标宋简体" w:cs="Times New Roman"/>
          <w:sz w:val="42"/>
          <w:szCs w:val="42"/>
        </w:rPr>
      </w:pPr>
      <w:r>
        <w:rPr>
          <w:rFonts w:ascii="Times New Roman" w:hAnsi="Times New Roman" w:eastAsia="方正大标宋简体" w:cs="Times New Roman"/>
          <w:sz w:val="42"/>
          <w:szCs w:val="42"/>
        </w:rPr>
        <w:t>管理规定</w:t>
      </w:r>
    </w:p>
    <w:bookmarkEnd w:id="0"/>
    <w:p w14:paraId="2A31CA67">
      <w:pPr>
        <w:widowControl/>
        <w:tabs>
          <w:tab w:val="left" w:pos="1230"/>
        </w:tabs>
        <w:jc w:val="center"/>
        <w:rPr>
          <w:rFonts w:ascii="Times New Roman" w:hAnsi="Times New Roman" w:eastAsia="方正仿宋简体" w:cs="Times New Roman"/>
          <w:sz w:val="30"/>
          <w:szCs w:val="30"/>
        </w:rPr>
      </w:pPr>
    </w:p>
    <w:p w14:paraId="48B08F2F">
      <w:pPr>
        <w:widowControl/>
        <w:tabs>
          <w:tab w:val="left" w:pos="1230"/>
        </w:tabs>
        <w:jc w:val="center"/>
        <w:rPr>
          <w:rFonts w:ascii="Times New Roman" w:hAnsi="Times New Roman" w:eastAsia="方正仿宋简体" w:cs="Times New Roman"/>
          <w:b/>
          <w:bCs/>
          <w:sz w:val="30"/>
          <w:szCs w:val="30"/>
        </w:rPr>
      </w:pPr>
      <w:r>
        <w:rPr>
          <w:rFonts w:ascii="Times New Roman" w:hAnsi="Times New Roman" w:eastAsia="方正仿宋简体" w:cs="Times New Roman"/>
          <w:b/>
          <w:bCs/>
          <w:sz w:val="30"/>
          <w:szCs w:val="30"/>
        </w:rPr>
        <w:t>第一章 总则</w:t>
      </w:r>
    </w:p>
    <w:p w14:paraId="1A6A51B0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第一条 为了规范上海期货交易所（以下简称交易所）钢材期货交割商品相关业务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，精简规则体系</w:t>
      </w:r>
      <w:r>
        <w:rPr>
          <w:rFonts w:ascii="Times New Roman" w:hAnsi="Times New Roman" w:eastAsia="方正仿宋简体" w:cs="Times New Roman"/>
          <w:sz w:val="30"/>
          <w:szCs w:val="30"/>
        </w:rPr>
        <w:t>，根据《上海期货交易所螺纹钢期货业务细则》《上海期货交易所热轧卷板期货业务细则》《上海期货交易所不锈钢期货业务细则》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等</w:t>
      </w:r>
      <w:r>
        <w:rPr>
          <w:rFonts w:ascii="Times New Roman" w:hAnsi="Times New Roman" w:eastAsia="方正仿宋简体" w:cs="Times New Roman"/>
          <w:sz w:val="30"/>
          <w:szCs w:val="30"/>
        </w:rPr>
        <w:t>相关业务规则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及现货市场贸易特点</w:t>
      </w:r>
      <w:r>
        <w:rPr>
          <w:rFonts w:ascii="Times New Roman" w:hAnsi="Times New Roman" w:eastAsia="方正仿宋简体" w:cs="Times New Roman"/>
          <w:sz w:val="30"/>
          <w:szCs w:val="30"/>
        </w:rPr>
        <w:t>，制定本规定。</w:t>
      </w:r>
    </w:p>
    <w:p w14:paraId="34D748FA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第二条 交易所、会员、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标准仓单货主</w:t>
      </w:r>
      <w:r>
        <w:rPr>
          <w:rFonts w:ascii="Times New Roman" w:hAnsi="Times New Roman" w:eastAsia="方正仿宋简体" w:cs="Times New Roman"/>
          <w:sz w:val="30"/>
          <w:szCs w:val="30"/>
        </w:rPr>
        <w:t>、注册企业、交割库、指定检验机构以及期货市场其他参与者，应当遵守本规定。</w:t>
      </w:r>
    </w:p>
    <w:p w14:paraId="2687AFDF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</w:p>
    <w:p w14:paraId="3B643B01">
      <w:pPr>
        <w:widowControl/>
        <w:numPr>
          <w:ilvl w:val="0"/>
          <w:numId w:val="1"/>
        </w:numPr>
        <w:tabs>
          <w:tab w:val="left" w:pos="1230"/>
        </w:tabs>
        <w:jc w:val="center"/>
        <w:rPr>
          <w:rFonts w:ascii="Times New Roman" w:hAnsi="Times New Roman" w:eastAsia="方正仿宋简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</w:rPr>
        <w:t>钢材期货</w:t>
      </w:r>
      <w:r>
        <w:rPr>
          <w:rFonts w:ascii="Times New Roman" w:hAnsi="Times New Roman" w:eastAsia="方正仿宋简体" w:cs="Times New Roman"/>
          <w:b/>
          <w:bCs/>
          <w:sz w:val="30"/>
          <w:szCs w:val="30"/>
        </w:rPr>
        <w:t>交割商品规格</w:t>
      </w: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</w:rPr>
        <w:t>要求</w:t>
      </w:r>
    </w:p>
    <w:p w14:paraId="6FBAE86A">
      <w:pPr>
        <w:widowControl/>
        <w:tabs>
          <w:tab w:val="left" w:pos="1230"/>
        </w:tabs>
        <w:jc w:val="center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第一节 螺纹钢</w:t>
      </w:r>
    </w:p>
    <w:p w14:paraId="31B576D3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三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条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螺纹钢仓</w:t>
      </w:r>
      <w:r>
        <w:rPr>
          <w:rFonts w:ascii="Times New Roman" w:hAnsi="Times New Roman" w:eastAsia="方正仿宋简体" w:cs="Times New Roman"/>
          <w:sz w:val="30"/>
          <w:szCs w:val="30"/>
        </w:rPr>
        <w:t>库标准仓单货主在进行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螺纹钢</w:t>
      </w:r>
      <w:r>
        <w:rPr>
          <w:rFonts w:ascii="Times New Roman" w:hAnsi="Times New Roman" w:eastAsia="方正仿宋简体" w:cs="Times New Roman"/>
          <w:sz w:val="30"/>
          <w:szCs w:val="30"/>
        </w:rPr>
        <w:t>期货合约卖出交割时，交割商品的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仓单应当符合下列要求：</w:t>
      </w:r>
    </w:p>
    <w:p w14:paraId="4DE7F6C6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（1）每一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螺纹钢</w:t>
      </w:r>
      <w:r>
        <w:rPr>
          <w:rFonts w:ascii="Times New Roman" w:hAnsi="Times New Roman" w:eastAsia="方正仿宋简体" w:cs="Times New Roman"/>
          <w:sz w:val="30"/>
          <w:szCs w:val="30"/>
        </w:rPr>
        <w:t>，应当是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在交易所注册的生产企业生产的注册商品，并提供注册生产企业出具的产品质量证明书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 w14:paraId="3D030393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（2）交割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螺纹钢</w:t>
      </w:r>
      <w:r>
        <w:rPr>
          <w:rFonts w:ascii="Times New Roman" w:hAnsi="Times New Roman" w:eastAsia="方正仿宋简体" w:cs="Times New Roman"/>
          <w:sz w:val="30"/>
          <w:szCs w:val="30"/>
        </w:rPr>
        <w:t>的每批商品应在生产日起的45天内入交割仓库方可制作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仓单，并且组成每一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螺纹钢</w:t>
      </w:r>
      <w:r>
        <w:rPr>
          <w:rFonts w:ascii="Times New Roman" w:hAnsi="Times New Roman" w:eastAsia="方正仿宋简体" w:cs="Times New Roman"/>
          <w:sz w:val="30"/>
          <w:szCs w:val="30"/>
        </w:rPr>
        <w:t>的生产日期应当不超过连续十日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，且以其中最早的生产日期作为该标准仓单的生产日期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 w14:paraId="7BB559F4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（3）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仓单应当由本所交割仓库按规定验收后出具。</w:t>
      </w:r>
    </w:p>
    <w:p w14:paraId="2853F8C6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四</w:t>
      </w:r>
      <w:r>
        <w:rPr>
          <w:rFonts w:ascii="Times New Roman" w:hAnsi="Times New Roman" w:eastAsia="方正仿宋简体" w:cs="Times New Roman"/>
          <w:sz w:val="30"/>
          <w:szCs w:val="30"/>
        </w:rPr>
        <w:t>条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>螺纹钢标准仓单货主在进行某一螺纹钢期货合约卖出交割时，交割商品公称直径分布应当符合下列要求：</w:t>
      </w:r>
    </w:p>
    <w:p w14:paraId="6B6C16E9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（1）</w:t>
      </w:r>
      <w:r>
        <w:rPr>
          <w:rFonts w:ascii="Times New Roman" w:hAnsi="Times New Roman" w:eastAsia="方正仿宋简体"/>
          <w:sz w:val="30"/>
          <w:szCs w:val="30"/>
        </w:rPr>
        <w:t>交割数量≤2400吨，可以是同一公称直径。</w:t>
      </w:r>
    </w:p>
    <w:p w14:paraId="32682B32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（2）</w:t>
      </w:r>
      <w:r>
        <w:rPr>
          <w:rFonts w:ascii="Times New Roman" w:hAnsi="Times New Roman" w:eastAsia="方正仿宋简体"/>
          <w:sz w:val="30"/>
          <w:szCs w:val="30"/>
        </w:rPr>
        <w:t>2400吨＜交割数量≤9600吨，至少是三个公称直径，并且每一公称直径交割数量不得高于其总交割数量的40%。</w:t>
      </w:r>
    </w:p>
    <w:p w14:paraId="48F4A2A4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（3）</w:t>
      </w:r>
      <w:r>
        <w:rPr>
          <w:rFonts w:ascii="Times New Roman" w:hAnsi="Times New Roman" w:eastAsia="方正仿宋简体"/>
          <w:sz w:val="30"/>
          <w:szCs w:val="30"/>
        </w:rPr>
        <w:t>交割数量＞9600吨，至少是四个公称直径，并且每一公称直径交割数量不得高于其总交割数量的30%。</w:t>
      </w:r>
    </w:p>
    <w:p w14:paraId="4CF702FE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同一标准仓单货主从交易所买入再卖出交割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及厂库交割</w:t>
      </w:r>
      <w:r>
        <w:rPr>
          <w:rFonts w:ascii="Times New Roman" w:hAnsi="Times New Roman" w:eastAsia="方正仿宋简体" w:cs="Times New Roman"/>
          <w:sz w:val="30"/>
          <w:szCs w:val="30"/>
        </w:rPr>
        <w:t>的商品除外。</w:t>
      </w:r>
    </w:p>
    <w:p w14:paraId="4DA6BABB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</w:p>
    <w:p w14:paraId="516B94E0">
      <w:pPr>
        <w:widowControl/>
        <w:tabs>
          <w:tab w:val="left" w:pos="1230"/>
        </w:tabs>
        <w:jc w:val="center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第二节 线材</w:t>
      </w:r>
    </w:p>
    <w:p w14:paraId="7218695C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五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条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线材仓</w:t>
      </w:r>
      <w:r>
        <w:rPr>
          <w:rFonts w:ascii="Times New Roman" w:hAnsi="Times New Roman" w:eastAsia="方正仿宋简体" w:cs="Times New Roman"/>
          <w:sz w:val="30"/>
          <w:szCs w:val="30"/>
        </w:rPr>
        <w:t>库标准仓单货主在进行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线材</w:t>
      </w:r>
      <w:r>
        <w:rPr>
          <w:rFonts w:ascii="Times New Roman" w:hAnsi="Times New Roman" w:eastAsia="方正仿宋简体" w:cs="Times New Roman"/>
          <w:sz w:val="30"/>
          <w:szCs w:val="30"/>
        </w:rPr>
        <w:t>期货合约卖出交割时，交割商品的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仓单应当符合下列要求：</w:t>
      </w:r>
    </w:p>
    <w:p w14:paraId="48CF1A2B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（1）每一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线材</w:t>
      </w:r>
      <w:r>
        <w:rPr>
          <w:rFonts w:ascii="Times New Roman" w:hAnsi="Times New Roman" w:eastAsia="方正仿宋简体" w:cs="Times New Roman"/>
          <w:sz w:val="30"/>
          <w:szCs w:val="30"/>
        </w:rPr>
        <w:t>，应当是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在交易所注册的生产企业生产的注册商品，并提供注册生产企业出具的产品质量证明书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 w14:paraId="22A3C3F5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（2）交割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线材</w:t>
      </w:r>
      <w:r>
        <w:rPr>
          <w:rFonts w:ascii="Times New Roman" w:hAnsi="Times New Roman" w:eastAsia="方正仿宋简体" w:cs="Times New Roman"/>
          <w:sz w:val="30"/>
          <w:szCs w:val="30"/>
        </w:rPr>
        <w:t>的每批商品应在生产日起的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30</w:t>
      </w:r>
      <w:r>
        <w:rPr>
          <w:rFonts w:ascii="Times New Roman" w:hAnsi="Times New Roman" w:eastAsia="方正仿宋简体" w:cs="Times New Roman"/>
          <w:sz w:val="30"/>
          <w:szCs w:val="30"/>
        </w:rPr>
        <w:t>天内入交割仓库方可制作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仓单，并且组成每一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线材</w:t>
      </w:r>
      <w:r>
        <w:rPr>
          <w:rFonts w:ascii="Times New Roman" w:hAnsi="Times New Roman" w:eastAsia="方正仿宋简体" w:cs="Times New Roman"/>
          <w:sz w:val="30"/>
          <w:szCs w:val="30"/>
        </w:rPr>
        <w:t>的生产日期应当不超过连续十日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，且以其中最早的生产日期作为该标准仓单的生产日期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 w14:paraId="4E1E8952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（3）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仓单应当由本所交割仓库按规定验收后出具。</w:t>
      </w:r>
    </w:p>
    <w:p w14:paraId="63D77B11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</w:p>
    <w:p w14:paraId="019CB3A6">
      <w:pPr>
        <w:widowControl/>
        <w:tabs>
          <w:tab w:val="left" w:pos="1230"/>
        </w:tabs>
        <w:jc w:val="center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第三节 热轧卷板</w:t>
      </w:r>
    </w:p>
    <w:p w14:paraId="58094A2C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六</w:t>
      </w:r>
      <w:r>
        <w:rPr>
          <w:rFonts w:ascii="Times New Roman" w:hAnsi="Times New Roman" w:eastAsia="方正仿宋简体" w:cs="Times New Roman"/>
          <w:sz w:val="30"/>
          <w:szCs w:val="30"/>
        </w:rPr>
        <w:t>条 热轧卷板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仓</w:t>
      </w:r>
      <w:r>
        <w:rPr>
          <w:rFonts w:ascii="Times New Roman" w:hAnsi="Times New Roman" w:eastAsia="方正仿宋简体" w:cs="Times New Roman"/>
          <w:sz w:val="30"/>
          <w:szCs w:val="30"/>
        </w:rPr>
        <w:t>库标准仓单货主在进行热轧卷板期货合约卖出交割时，交割商品的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仓单应当符合下列要求：</w:t>
      </w:r>
    </w:p>
    <w:p w14:paraId="2DCF29AD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（1）每一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仓单的热轧卷板，应当是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在交易所注册的生产企业生产的注册商品，并提供注册生产企业出具的产品质量证明书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 w14:paraId="3C302F7D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（2）交割热轧卷板的每批商品应在生产日起的45天内入交割仓库方可制作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仓单，并且组成每一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仓单的热轧卷板的生产日期应当不超过连续十日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，且以其中最早的生产日期作为该标准仓单的生产日期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 w14:paraId="00E0DBDE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（3）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仓单应当由本所交割仓库按规定验收后出具。</w:t>
      </w:r>
    </w:p>
    <w:p w14:paraId="4110DF3D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（4）可交割卷重范围为23-31吨/卷。</w:t>
      </w:r>
    </w:p>
    <w:p w14:paraId="32340096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七</w:t>
      </w:r>
      <w:r>
        <w:rPr>
          <w:rFonts w:ascii="Times New Roman" w:hAnsi="Times New Roman" w:eastAsia="方正仿宋简体" w:cs="Times New Roman"/>
          <w:sz w:val="30"/>
          <w:szCs w:val="30"/>
        </w:rPr>
        <w:t>条 热轧卷板标准仓单货主在进行某一热轧卷板期货合约卖出交割时，交割商品厚度分布应当符合下列要求：</w:t>
      </w:r>
    </w:p>
    <w:p w14:paraId="21ECE996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（1）交割数量≤900吨，可以是同一厚度。</w:t>
      </w:r>
    </w:p>
    <w:p w14:paraId="063FB4C6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（2）900吨&lt;交割数量≤1800吨，至少是两个厚度，并且每一厚度交割数量不得高于其总交割数量的60%。</w:t>
      </w:r>
    </w:p>
    <w:p w14:paraId="4F903AC9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（3）1800吨&lt;交割数量≤3600吨，至少是三个厚度，每一厚度交割数量不得高于其总交割数量的45%。</w:t>
      </w:r>
    </w:p>
    <w:p w14:paraId="4CB9B146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（4）3600吨&lt;交割数量≤7200吨，至少是四个厚度，每一厚度交割数量不得高于其总交割数量的35%。</w:t>
      </w:r>
    </w:p>
    <w:p w14:paraId="56B6D81A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（5）7200吨&lt;交割数量≤12000吨，至少是五个厚度，每一厚度交割数量不得高于其总交割数量的25%。</w:t>
      </w:r>
    </w:p>
    <w:p w14:paraId="09C485C8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（6）交割数量&gt;12000吨，至少是六个厚度，每一厚度交割数量不得高于其总交割数量的20%。</w:t>
      </w:r>
    </w:p>
    <w:p w14:paraId="69B50FC3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同一</w:t>
      </w:r>
      <w:r>
        <w:rPr>
          <w:rFonts w:ascii="Times New Roman" w:hAnsi="Times New Roman" w:eastAsia="方正仿宋简体" w:cs="Times New Roman"/>
          <w:sz w:val="30"/>
          <w:szCs w:val="30"/>
        </w:rPr>
        <w:t>标准仓单货主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从交易所买入再卖出交割及厂库交割的商品除外。</w:t>
      </w:r>
    </w:p>
    <w:p w14:paraId="5FF5E17E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</w:p>
    <w:p w14:paraId="2AC0041B">
      <w:pPr>
        <w:widowControl/>
        <w:numPr>
          <w:ilvl w:val="255"/>
          <w:numId w:val="0"/>
        </w:numPr>
        <w:tabs>
          <w:tab w:val="left" w:pos="1230"/>
        </w:tabs>
        <w:jc w:val="center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第四节 不锈钢</w:t>
      </w:r>
    </w:p>
    <w:p w14:paraId="3B6ED1E2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八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条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不锈钢仓</w:t>
      </w:r>
      <w:r>
        <w:rPr>
          <w:rFonts w:ascii="Times New Roman" w:hAnsi="Times New Roman" w:eastAsia="方正仿宋简体" w:cs="Times New Roman"/>
          <w:sz w:val="30"/>
          <w:szCs w:val="30"/>
        </w:rPr>
        <w:t>库标准仓单货主在进行不锈钢期货合约卖出交割时，交割商品的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仓单应当符合下列要求：</w:t>
      </w:r>
    </w:p>
    <w:p w14:paraId="5D562C66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（1）每批不锈钢应在生产日起的45天内入交割仓库，方可制作仓库标准仓单。每一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仓单的不锈钢生产日期应当不超过连续十五日。每一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仓单的有效期限为生产日起的360天内，以其中不锈钢最早生产日期作为该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标准</w:t>
      </w:r>
      <w:r>
        <w:rPr>
          <w:rFonts w:ascii="Times New Roman" w:hAnsi="Times New Roman" w:eastAsia="方正仿宋简体" w:cs="Times New Roman"/>
          <w:sz w:val="30"/>
          <w:szCs w:val="30"/>
        </w:rPr>
        <w:t>仓单的生产日期，且有效期应当覆盖该次交割的第二交割日。</w:t>
      </w:r>
    </w:p>
    <w:p w14:paraId="0CE5225E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（2）不锈钢仓库标准仓单应当由本所交割仓库按规定验收后出具。</w:t>
      </w:r>
    </w:p>
    <w:p w14:paraId="512594D0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（3）可交割卷重范围为5～25吨/卷。</w:t>
      </w:r>
    </w:p>
    <w:p w14:paraId="3D44E30D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（4）可交割的不锈钢厚度公差应当符合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期货合约的标准</w:t>
      </w:r>
      <w:r>
        <w:rPr>
          <w:rFonts w:ascii="Times New Roman" w:hAnsi="Times New Roman" w:eastAsia="方正仿宋简体" w:cs="Times New Roman"/>
          <w:sz w:val="30"/>
          <w:szCs w:val="30"/>
        </w:rPr>
        <w:t>要求，且不允许正公差。</w:t>
      </w:r>
    </w:p>
    <w:p w14:paraId="2447E536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九</w:t>
      </w:r>
      <w:r>
        <w:rPr>
          <w:rFonts w:ascii="Times New Roman" w:hAnsi="Times New Roman" w:eastAsia="方正仿宋简体" w:cs="Times New Roman"/>
          <w:sz w:val="30"/>
          <w:szCs w:val="30"/>
        </w:rPr>
        <w:t>条 不锈钢标准仓单货主在进行某一不锈钢期货合约卖出交割时，交割商品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的</w:t>
      </w:r>
      <w:r>
        <w:rPr>
          <w:rFonts w:ascii="Times New Roman" w:hAnsi="Times New Roman" w:eastAsia="方正仿宋简体" w:cs="Times New Roman"/>
          <w:sz w:val="30"/>
          <w:szCs w:val="30"/>
        </w:rPr>
        <w:t>宽度和厚度分布应当符合下列要求：</w:t>
      </w:r>
    </w:p>
    <w:p w14:paraId="51E94A39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（1）60吨≤交割数量≤300吨，可以是同一厚度，宽度必须为1219mm。</w:t>
      </w:r>
    </w:p>
    <w:p w14:paraId="675BA4A4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（2）300吨&lt;交割数量≤1200吨，至少是两个厚度，每一厚度交割数量不得高于其总交割数量的60%，宽度必须为1219mm。</w:t>
      </w:r>
    </w:p>
    <w:p w14:paraId="7A468897">
      <w:pPr>
        <w:spacing w:line="560" w:lineRule="exact"/>
        <w:ind w:firstLine="600" w:firstLineChars="2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（3）1200吨&lt;交割数量≤2400吨，至少是三个厚度，每一厚度交割数量不得高于其总交割数量的40%；最多两个宽度，1219mm不少于80%。</w:t>
      </w:r>
    </w:p>
    <w:p w14:paraId="1B15B664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（4）交割数量&gt;2400吨，至少是四个厚度，每一厚度交割数量不得高于其总交割数量的30%</w:t>
      </w:r>
      <w:r>
        <w:rPr>
          <w:rFonts w:hint="eastAsia" w:ascii="Times New Roman" w:hAnsi="Times New Roman" w:eastAsia="方正仿宋简体"/>
          <w:sz w:val="30"/>
          <w:szCs w:val="30"/>
        </w:rPr>
        <w:t>；最多三个宽度，1219mm不少于70%。</w:t>
      </w:r>
    </w:p>
    <w:p w14:paraId="3FD35510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同一标准仓单货主从交易所买入再卖出交割的商品除外。</w:t>
      </w:r>
    </w:p>
    <w:p w14:paraId="2A1B4AA6">
      <w:pPr>
        <w:widowControl/>
        <w:numPr>
          <w:ilvl w:val="255"/>
          <w:numId w:val="0"/>
        </w:numPr>
        <w:tabs>
          <w:tab w:val="left" w:pos="1230"/>
        </w:tabs>
        <w:rPr>
          <w:rFonts w:ascii="Times New Roman" w:hAnsi="Times New Roman" w:eastAsia="方正仿宋简体" w:cs="Times New Roman"/>
          <w:sz w:val="30"/>
          <w:szCs w:val="30"/>
        </w:rPr>
      </w:pPr>
    </w:p>
    <w:p w14:paraId="08C1523A">
      <w:pPr>
        <w:widowControl/>
        <w:tabs>
          <w:tab w:val="left" w:pos="1230"/>
        </w:tabs>
        <w:jc w:val="center"/>
        <w:rPr>
          <w:rFonts w:ascii="Times New Roman" w:hAnsi="Times New Roman" w:eastAsia="方正仿宋简体" w:cs="Times New Roman"/>
          <w:b/>
          <w:bCs/>
          <w:sz w:val="30"/>
          <w:szCs w:val="30"/>
        </w:rPr>
      </w:pPr>
      <w:r>
        <w:rPr>
          <w:rFonts w:ascii="Times New Roman" w:hAnsi="Times New Roman" w:eastAsia="方正仿宋简体" w:cs="Times New Roman"/>
          <w:b/>
          <w:bCs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</w:rPr>
        <w:t>三</w:t>
      </w:r>
      <w:r>
        <w:rPr>
          <w:rFonts w:ascii="Times New Roman" w:hAnsi="Times New Roman" w:eastAsia="方正仿宋简体" w:cs="Times New Roman"/>
          <w:b/>
          <w:bCs/>
          <w:sz w:val="30"/>
          <w:szCs w:val="30"/>
        </w:rPr>
        <w:t xml:space="preserve">章 </w:t>
      </w: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</w:rPr>
        <w:t>钢材期货厂库商品提货要求</w:t>
      </w:r>
    </w:p>
    <w:p w14:paraId="626F6244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第十条 </w:t>
      </w:r>
      <w:r>
        <w:rPr>
          <w:rFonts w:ascii="Times New Roman" w:hAnsi="Times New Roman" w:eastAsia="方正仿宋简体" w:cs="Times New Roman"/>
          <w:sz w:val="30"/>
          <w:szCs w:val="30"/>
        </w:rPr>
        <w:t>螺纹钢厂库标准仓单货主申请提货的，厂库提供的出库商品规格（公称直径）分布应当符合下列要求：</w:t>
      </w:r>
    </w:p>
    <w:p w14:paraId="063648B0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（1）</w:t>
      </w:r>
      <w:r>
        <w:rPr>
          <w:rFonts w:ascii="Times New Roman" w:hAnsi="Times New Roman" w:eastAsia="方正仿宋简体" w:cs="Times New Roman"/>
          <w:sz w:val="30"/>
          <w:szCs w:val="30"/>
        </w:rPr>
        <w:t>厂库标准仓单货主提货数量≤2400吨，出库商品可以是同一公称直径或者一个以上公称直径。</w:t>
      </w:r>
    </w:p>
    <w:p w14:paraId="4C0FD4E2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（2）</w:t>
      </w:r>
      <w:r>
        <w:rPr>
          <w:rFonts w:ascii="Times New Roman" w:hAnsi="Times New Roman" w:eastAsia="方正仿宋简体" w:cs="Times New Roman"/>
          <w:sz w:val="30"/>
          <w:szCs w:val="30"/>
        </w:rPr>
        <w:t>2400吨&lt;厂库标准仓单货主提货数量≤9600吨，出库商品至少是三个公称直径，并且每一公称直径提货数量不得高于其总提货数量的40%。</w:t>
      </w:r>
    </w:p>
    <w:p w14:paraId="4E8DFDCC">
      <w:pPr>
        <w:widowControl/>
        <w:numPr>
          <w:ilvl w:val="0"/>
          <w:numId w:val="2"/>
        </w:numPr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厂库标准仓单货主提货数量&gt;9600吨，出库商品至少是四个公称直径，并且每一公称直径提货数量不得高于其总数量的30%。</w:t>
      </w:r>
    </w:p>
    <w:p w14:paraId="447247E2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十一</w:t>
      </w:r>
      <w:r>
        <w:rPr>
          <w:rFonts w:ascii="Times New Roman" w:hAnsi="Times New Roman" w:eastAsia="方正仿宋简体" w:cs="Times New Roman"/>
          <w:sz w:val="30"/>
          <w:szCs w:val="30"/>
        </w:rPr>
        <w:t>条 热轧卷板厂库标准仓单货主向对应厂库申请提货的，厂库提供的出库商品规格（厚度分布）应当符合下列要求：</w:t>
      </w:r>
    </w:p>
    <w:p w14:paraId="5B8E260F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（1）</w:t>
      </w:r>
      <w:r>
        <w:rPr>
          <w:rFonts w:ascii="Times New Roman" w:hAnsi="Times New Roman" w:eastAsia="方正仿宋简体" w:cs="Times New Roman"/>
          <w:sz w:val="30"/>
          <w:szCs w:val="30"/>
        </w:rPr>
        <w:t>厂库标准仓单货主提货数量≤900吨，出库商品可以是同一厚度。</w:t>
      </w:r>
    </w:p>
    <w:p w14:paraId="5148F05E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（2）</w:t>
      </w:r>
      <w:r>
        <w:rPr>
          <w:rFonts w:ascii="Times New Roman" w:hAnsi="Times New Roman" w:eastAsia="方正仿宋简体" w:cs="Times New Roman"/>
          <w:sz w:val="30"/>
          <w:szCs w:val="30"/>
        </w:rPr>
        <w:t>900吨&lt;厂库标准仓单货主提货数量≤1800吨，出库商品至少是两个厚度，并且每一厚度提货数量不得高于其总提货数量的60%。</w:t>
      </w:r>
    </w:p>
    <w:p w14:paraId="4F12DA5C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（3）</w:t>
      </w:r>
      <w:r>
        <w:rPr>
          <w:rFonts w:ascii="Times New Roman" w:hAnsi="Times New Roman" w:eastAsia="方正仿宋简体" w:cs="Times New Roman"/>
          <w:sz w:val="30"/>
          <w:szCs w:val="30"/>
        </w:rPr>
        <w:t>1800吨&lt;厂库标准仓单货主提货数量≤3600吨，出库商品至少是三个厚度，并且每一厚度提货数量不得高于其总提货数量的45%。</w:t>
      </w:r>
    </w:p>
    <w:p w14:paraId="0B2BE37C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（4）</w:t>
      </w:r>
      <w:r>
        <w:rPr>
          <w:rFonts w:ascii="Times New Roman" w:hAnsi="Times New Roman" w:eastAsia="方正仿宋简体" w:cs="Times New Roman"/>
          <w:sz w:val="30"/>
          <w:szCs w:val="30"/>
        </w:rPr>
        <w:t>3600吨&lt;厂库标准仓单货主提货数量≤7200吨，出库商品至少是四个厚度，并且每一厚度提货数量不得高于其总提货数量的35%。</w:t>
      </w:r>
    </w:p>
    <w:p w14:paraId="6632AD89">
      <w:pPr>
        <w:widowControl/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（5）</w:t>
      </w:r>
      <w:r>
        <w:rPr>
          <w:rFonts w:ascii="Times New Roman" w:hAnsi="Times New Roman" w:eastAsia="方正仿宋简体" w:cs="Times New Roman"/>
          <w:sz w:val="30"/>
          <w:szCs w:val="30"/>
        </w:rPr>
        <w:t>7200吨&lt;厂库标准仓单货主提货数量≤12000吨，出库商品至少是五个厚度，并且每一厚度提货数量不得高于其总提货数量的25%。</w:t>
      </w:r>
    </w:p>
    <w:p w14:paraId="5E184E84">
      <w:pPr>
        <w:widowControl/>
        <w:numPr>
          <w:ilvl w:val="0"/>
          <w:numId w:val="3"/>
        </w:numPr>
        <w:tabs>
          <w:tab w:val="left" w:pos="1230"/>
        </w:tabs>
        <w:ind w:firstLine="600" w:firstLineChars="200"/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厂库标准仓单货主提货数量&gt;12000吨，出库商品至少是六个厚度，并且每一厚度提货数量不得高于其总提货数量的20%。</w:t>
      </w:r>
    </w:p>
    <w:p w14:paraId="1CD5ADAA">
      <w:pPr>
        <w:widowControl/>
        <w:numPr>
          <w:ilvl w:val="255"/>
          <w:numId w:val="0"/>
        </w:numPr>
        <w:tabs>
          <w:tab w:val="left" w:pos="1230"/>
        </w:tabs>
        <w:jc w:val="lef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   第十二条 厂库和标准仓单货主经双方协商同意，可以在提交提货申请的时候选择协商提货的方式，由双方另行确定发货时间和发货计划，厂库标准仓单被注销，视同转为现货，不再按相关办法中的有关规定办理。但双方应保留好相关协议。</w:t>
      </w:r>
    </w:p>
    <w:p w14:paraId="084F200E">
      <w:pPr>
        <w:widowControl/>
        <w:tabs>
          <w:tab w:val="left" w:pos="1230"/>
        </w:tabs>
        <w:rPr>
          <w:rFonts w:ascii="Times New Roman" w:hAnsi="Times New Roman" w:eastAsia="方正仿宋简体" w:cs="Times New Roman"/>
          <w:sz w:val="30"/>
          <w:szCs w:val="30"/>
        </w:rPr>
      </w:pPr>
    </w:p>
    <w:p w14:paraId="40EE6DE4">
      <w:pPr>
        <w:widowControl/>
        <w:tabs>
          <w:tab w:val="left" w:pos="1230"/>
        </w:tabs>
        <w:jc w:val="center"/>
        <w:rPr>
          <w:rFonts w:ascii="Times New Roman" w:hAnsi="Times New Roman" w:eastAsia="方正仿宋简体" w:cs="Times New Roman"/>
          <w:b/>
          <w:bCs/>
          <w:sz w:val="30"/>
          <w:szCs w:val="30"/>
        </w:rPr>
      </w:pPr>
      <w:r>
        <w:rPr>
          <w:rFonts w:ascii="Times New Roman" w:hAnsi="Times New Roman" w:eastAsia="方正仿宋简体" w:cs="Times New Roman"/>
          <w:b/>
          <w:bCs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</w:rPr>
        <w:t>四</w:t>
      </w:r>
      <w:r>
        <w:rPr>
          <w:rFonts w:ascii="Times New Roman" w:hAnsi="Times New Roman" w:eastAsia="方正仿宋简体" w:cs="Times New Roman"/>
          <w:b/>
          <w:bCs/>
          <w:sz w:val="30"/>
          <w:szCs w:val="30"/>
        </w:rPr>
        <w:t>章 附则</w:t>
      </w:r>
    </w:p>
    <w:p w14:paraId="74C51D9D">
      <w:pPr>
        <w:ind w:firstLine="57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第十三条 本规定未尽事宜，按照交易所相关业务规则的规定执行。</w:t>
      </w:r>
    </w:p>
    <w:p w14:paraId="56559F47">
      <w:pPr>
        <w:ind w:firstLine="57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第十四条 </w:t>
      </w:r>
      <w:r>
        <w:rPr>
          <w:rFonts w:ascii="Times New Roman" w:hAnsi="Times New Roman" w:eastAsia="方正仿宋简体" w:cs="Times New Roman"/>
          <w:sz w:val="30"/>
          <w:szCs w:val="30"/>
        </w:rPr>
        <w:t>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规定的</w:t>
      </w:r>
      <w:r>
        <w:rPr>
          <w:rFonts w:ascii="Times New Roman" w:hAnsi="Times New Roman" w:eastAsia="方正仿宋简体" w:cs="Times New Roman"/>
          <w:sz w:val="30"/>
          <w:szCs w:val="30"/>
        </w:rPr>
        <w:t>解释权属于上海期货交易所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。</w:t>
      </w:r>
    </w:p>
    <w:p w14:paraId="66092184">
      <w:pPr>
        <w:ind w:firstLine="57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第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十五</w:t>
      </w:r>
      <w:r>
        <w:rPr>
          <w:rFonts w:ascii="Times New Roman" w:hAnsi="Times New Roman" w:eastAsia="方正仿宋简体" w:cs="Times New Roman"/>
          <w:sz w:val="30"/>
          <w:szCs w:val="30"/>
        </w:rPr>
        <w:t>条 本规定自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发布之日起</w:t>
      </w:r>
      <w:r>
        <w:rPr>
          <w:rFonts w:ascii="Times New Roman" w:hAnsi="Times New Roman" w:eastAsia="方正仿宋简体" w:cs="Times New Roman"/>
          <w:sz w:val="30"/>
          <w:szCs w:val="30"/>
        </w:rPr>
        <w:t>实施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，原</w:t>
      </w:r>
      <w:r>
        <w:rPr>
          <w:rFonts w:ascii="Times New Roman" w:hAnsi="Times New Roman" w:eastAsia="方正仿宋简体" w:cs="Times New Roman"/>
          <w:sz w:val="30"/>
          <w:szCs w:val="30"/>
        </w:rPr>
        <w:t>《螺纹钢交割商品补充规定》《热轧卷板交割商品补充规定》《关于不锈钢期货交割商品补充规定的通知》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（【2025】91号）同时废止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242E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C1B33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C1B33"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- 7 -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B1D78"/>
    <w:multiLevelType w:val="singleLevel"/>
    <w:tmpl w:val="9ABB1D78"/>
    <w:lvl w:ilvl="0" w:tentative="0">
      <w:start w:val="6"/>
      <w:numFmt w:val="decimal"/>
      <w:suff w:val="nothing"/>
      <w:lvlText w:val="（%1）"/>
      <w:lvlJc w:val="left"/>
    </w:lvl>
  </w:abstractNum>
  <w:abstractNum w:abstractNumId="1">
    <w:nsid w:val="FBFCA80F"/>
    <w:multiLevelType w:val="singleLevel"/>
    <w:tmpl w:val="FBFCA80F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6B86BCF8"/>
    <w:multiLevelType w:val="singleLevel"/>
    <w:tmpl w:val="6B86BCF8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E7"/>
    <w:rsid w:val="003B6F80"/>
    <w:rsid w:val="003E7422"/>
    <w:rsid w:val="003F4242"/>
    <w:rsid w:val="004D6FBD"/>
    <w:rsid w:val="00583399"/>
    <w:rsid w:val="006C15CE"/>
    <w:rsid w:val="0076076E"/>
    <w:rsid w:val="0091312D"/>
    <w:rsid w:val="00A87CB6"/>
    <w:rsid w:val="00AD6083"/>
    <w:rsid w:val="00B77AE7"/>
    <w:rsid w:val="00B97251"/>
    <w:rsid w:val="00C926BD"/>
    <w:rsid w:val="00CD4C86"/>
    <w:rsid w:val="00CD6CEE"/>
    <w:rsid w:val="00CF6F1A"/>
    <w:rsid w:val="00FB7263"/>
    <w:rsid w:val="0EA576DD"/>
    <w:rsid w:val="0FFDDB37"/>
    <w:rsid w:val="33F3D79A"/>
    <w:rsid w:val="36DF1E36"/>
    <w:rsid w:val="3D7F1B6A"/>
    <w:rsid w:val="3DFFC109"/>
    <w:rsid w:val="4FBB781F"/>
    <w:rsid w:val="4FFF661B"/>
    <w:rsid w:val="5DFD6EDC"/>
    <w:rsid w:val="65FF18F9"/>
    <w:rsid w:val="70AB68FE"/>
    <w:rsid w:val="75B3BC62"/>
    <w:rsid w:val="75FB68F9"/>
    <w:rsid w:val="76CF5B31"/>
    <w:rsid w:val="79FD2790"/>
    <w:rsid w:val="79FE998D"/>
    <w:rsid w:val="7D3B33CB"/>
    <w:rsid w:val="7D562C9B"/>
    <w:rsid w:val="7DC5444F"/>
    <w:rsid w:val="7F57F5B5"/>
    <w:rsid w:val="7F7777EC"/>
    <w:rsid w:val="7FDF755E"/>
    <w:rsid w:val="7FDF7CED"/>
    <w:rsid w:val="7FFCA6B4"/>
    <w:rsid w:val="7FFF49D3"/>
    <w:rsid w:val="7FFFB395"/>
    <w:rsid w:val="879FDD36"/>
    <w:rsid w:val="87CF246A"/>
    <w:rsid w:val="8DDEBA8C"/>
    <w:rsid w:val="AFFF67E3"/>
    <w:rsid w:val="B1FB6FF1"/>
    <w:rsid w:val="C93DD475"/>
    <w:rsid w:val="CB7D82D5"/>
    <w:rsid w:val="DDFBAB53"/>
    <w:rsid w:val="DF3F71F9"/>
    <w:rsid w:val="DF4E50D6"/>
    <w:rsid w:val="DFBFFC3A"/>
    <w:rsid w:val="DFCC2BA4"/>
    <w:rsid w:val="DFDF1668"/>
    <w:rsid w:val="DFDF270B"/>
    <w:rsid w:val="E2DF3282"/>
    <w:rsid w:val="E5D4DEBC"/>
    <w:rsid w:val="E71F5DA1"/>
    <w:rsid w:val="ED2FD696"/>
    <w:rsid w:val="EF755822"/>
    <w:rsid w:val="EF915447"/>
    <w:rsid w:val="F57A1006"/>
    <w:rsid w:val="F6BF71E8"/>
    <w:rsid w:val="F6EFAEC5"/>
    <w:rsid w:val="F6FB7AD9"/>
    <w:rsid w:val="F7BDA1F3"/>
    <w:rsid w:val="F7FF8596"/>
    <w:rsid w:val="F9FFD668"/>
    <w:rsid w:val="FB1628E9"/>
    <w:rsid w:val="FBBFD1B9"/>
    <w:rsid w:val="FBF9FABC"/>
    <w:rsid w:val="FC7B8865"/>
    <w:rsid w:val="FF1EE5D6"/>
    <w:rsid w:val="FF5DC6D0"/>
    <w:rsid w:val="FF643896"/>
    <w:rsid w:val="FF7F36B8"/>
    <w:rsid w:val="FFF7E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463BB-A291-44E6-9DB8-8EB87FACFC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2746</Words>
  <Characters>2933</Characters>
  <Lines>2</Lines>
  <Paragraphs>6</Paragraphs>
  <TotalTime>47</TotalTime>
  <ScaleCrop>false</ScaleCrop>
  <LinksUpToDate>false</LinksUpToDate>
  <CharactersWithSpaces>2959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2025-07-19T18:27:00Z</dcterms:created>
  <dc:creator>张骋</dc:creator>
  <cp:lastModifiedBy>骋</cp:lastModifiedBy>
  <dcterms:modified xsi:type="dcterms:W3CDTF">2025-12-04T11:47:54Z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eyJoZGlkIjoiM2ViODRmMWQ3MDIwY2QwOWVmZjVjMzkzMjkzZjI3NmYiLCJ1c2VySWQiOiIxNTYyMTc5MzY1In0=</vt:lpwstr>
  </property>
  <property fmtid="{D5CDD505-2E9C-101B-9397-08002B2CF9AE}" pid="3" name="KSOProductBuildVer">
    <vt:lpwstr>2052-12.1.0.23542</vt:lpwstr>
  </property>
  <property fmtid="{D5CDD505-2E9C-101B-9397-08002B2CF9AE}" pid="4" name="ICV">
    <vt:lpwstr>CCE30D08AA2B3FF9025C316968265DBA</vt:lpwstr>
  </property>
</Properties>
</file>