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r>
        <w:rPr>
          <w:rFonts w:hint="default" w:ascii="Times New Roman" w:hAnsi="Times New Roman" w:eastAsia="华文中宋" w:cs="Times New Roman"/>
          <w:b/>
          <w:bCs/>
          <w:kern w:val="2"/>
          <w:sz w:val="22"/>
          <w:szCs w:val="22"/>
        </w:rPr>
        <w:t>TIN FUTURES RULES OF THE SHANGHAI FUTURES EXCHANGE</w:t>
      </w:r>
    </w:p>
    <w:bookmarkEnd w:id="0"/>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Tin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Tin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tin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2</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Tin Futures Rules</w:t>
      </w:r>
      <w:r>
        <w:rPr>
          <w:rFonts w:hint="default" w:ascii="Times New Roman" w:hAnsi="Times New Roman" w:eastAsia="宋体" w:cs="Times New Roman"/>
          <w:color w:val="auto"/>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tin futures is one (1) metric ton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Price quotation of a tin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tin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ten (10)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tin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tin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b w:val="0"/>
          <w:bCs w:val="0"/>
          <w:color w:val="auto"/>
          <w:kern w:val="2"/>
          <w:sz w:val="22"/>
          <w:szCs w:val="22"/>
          <w:lang w:val="en-US" w:eastAsia="zh-CN" w:bidi="ar"/>
        </w:rPr>
        <w:t>The la</w:t>
      </w:r>
      <w:r>
        <w:rPr>
          <w:rFonts w:hint="default" w:ascii="Times New Roman" w:hAnsi="Times New Roman" w:eastAsia="宋体" w:cs="Times New Roman"/>
          <w:color w:val="auto"/>
          <w:kern w:val="2"/>
          <w:sz w:val="22"/>
          <w:szCs w:val="22"/>
          <w:lang w:val="en-US" w:eastAsia="zh-CN" w:bidi="ar"/>
        </w:rPr>
        <w:t>st trading day of a tin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tin futures is SN.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tin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a </w:t>
      </w:r>
      <w:r>
        <w:rPr>
          <w:rFonts w:hint="default" w:ascii="Times New Roman" w:hAnsi="Times New Roman" w:eastAsia="宋体" w:cs="Times New Roman"/>
          <w:b w:val="0"/>
          <w:bCs w:val="0"/>
          <w:color w:val="auto"/>
          <w:kern w:val="2"/>
          <w:sz w:val="22"/>
          <w:szCs w:val="22"/>
          <w:lang w:val="en-US" w:eastAsia="zh-CN" w:bidi="ar"/>
        </w:rPr>
        <w:t xml:space="preserve">contract-specific regular month hedging position quota of a tin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tin futures contract shall be submitted between the first trading day of the second</w:t>
      </w:r>
      <w:r>
        <w:rPr>
          <w:rFonts w:hint="default" w:ascii="Times New Roman" w:hAnsi="Times New Roman" w:eastAsia="宋体" w:cs="Times New Roman"/>
          <w:color w:val="auto"/>
          <w:kern w:val="2"/>
          <w:sz w:val="22"/>
          <w:szCs w:val="22"/>
          <w:lang w:val="en-US" w:eastAsia="zh-CN" w:bidi="ar"/>
        </w:rPr>
        <w:t xml:space="preserve"> month before the delivery month of the contract and the last trading day of the month before the delivery month. Late applications will not be accepted by the Exchange. An application for a nearby delivery month arbitrage position quota of a tin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tin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tin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Tin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Tin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commodity shall be of a registered brand from a manufacturer registered with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for deliverable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Tin ingots underlying each delivery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unit shall consist of commodity of the same manufacturer, designation and grade, registered brand, quality grade, shape, and packaged quantity (secured into bundles of similar weight). The registered manufacturer may decide the weight of each bundle at its sole discretion, provided that the bundles can readily yield the delivery unit. Each bundle shall be tightened with rust-resistant steel straps or with other methods of comparable strength using PET straps. The strapping shall be reliable and each bundle shall be marked by a prominent and secure product label.</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steel straps, severely rusted or corroded bundling materials, or loose plates, the commodities shall be repackaged and securely tightened with specified steel straps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Each domestically produced tin ingot shall weigh twenty-five (25) kilograms plus or minus one point five (±1.5) kilograms.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 The underlying tin ingots for each standard warrant weigh two (2) metric tons. Difference between standard warrant weight and actual delivery weight shall not exceed plus or minus three percent (±3%). Pound difference shall not exceed plus or minus one-tenth of one percent (±0.1%).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tin futures contract is two (2)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tin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tin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tin ingots intended for delivery must be stored indoors.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tin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tin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tin futures are as follows:</w:t>
      </w:r>
    </w:p>
    <w:tbl>
      <w:tblPr>
        <w:tblStyle w:val="5"/>
        <w:tblW w:w="846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004"/>
        <w:gridCol w:w="2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24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24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24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24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24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tin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tin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31"/>
        <w:gridCol w:w="1412"/>
        <w:gridCol w:w="1211"/>
        <w:gridCol w:w="1162"/>
        <w:gridCol w:w="1002"/>
        <w:gridCol w:w="938"/>
        <w:gridCol w:w="950"/>
        <w:gridCol w:w="9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437"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2263"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16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13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437"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4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interest</w:t>
            </w:r>
          </w:p>
        </w:tc>
        <w:tc>
          <w:tcPr>
            <w:tcW w:w="1419"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 xml:space="preserve">Percentage-based Position Limit (%) and </w:t>
            </w:r>
            <w:r>
              <w:rPr>
                <w:rFonts w:hint="default" w:ascii="Times New Roman" w:hAnsi="Times New Roman" w:eastAsia="宋体" w:cs="Times New Roman"/>
                <w:color w:val="auto"/>
                <w:kern w:val="2"/>
                <w:sz w:val="22"/>
                <w:szCs w:val="22"/>
                <w:lang w:val="en-US" w:eastAsia="zh-CN" w:bidi="ar"/>
              </w:rPr>
              <w:t>fixed-amount Position Limit (in lots)</w:t>
            </w:r>
          </w:p>
        </w:tc>
        <w:tc>
          <w:tcPr>
            <w:tcW w:w="116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13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437"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4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72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69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599"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6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568"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7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437"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tin</w:t>
            </w:r>
          </w:p>
        </w:tc>
        <w:tc>
          <w:tcPr>
            <w:tcW w:w="84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≥15,000</w:t>
            </w:r>
          </w:p>
        </w:tc>
        <w:tc>
          <w:tcPr>
            <w:tcW w:w="72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9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599"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c>
          <w:tcPr>
            <w:tcW w:w="56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c>
          <w:tcPr>
            <w:tcW w:w="568"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200</w:t>
            </w:r>
          </w:p>
        </w:tc>
        <w:tc>
          <w:tcPr>
            <w:tcW w:w="570"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437"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4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宋体" w:hAnsi="宋体" w:eastAsia="宋体" w:cs="宋体"/>
                <w:bCs/>
                <w:color w:val="auto"/>
                <w:kern w:val="2"/>
                <w:sz w:val="22"/>
                <w:szCs w:val="22"/>
                <w:lang w:val="en-US" w:eastAsia="zh-CN" w:bidi="ar"/>
              </w:rPr>
              <w:t>＜</w:t>
            </w:r>
            <w:r>
              <w:rPr>
                <w:rFonts w:hint="default" w:ascii="Times New Roman" w:hAnsi="Times New Roman" w:eastAsia="宋体" w:cs="Times New Roman"/>
                <w:bCs/>
                <w:color w:val="auto"/>
                <w:kern w:val="2"/>
                <w:sz w:val="22"/>
                <w:szCs w:val="22"/>
                <w:lang w:val="en-US" w:eastAsia="zh-CN" w:bidi="ar"/>
              </w:rPr>
              <w:t>15,000</w:t>
            </w:r>
          </w:p>
        </w:tc>
        <w:tc>
          <w:tcPr>
            <w:tcW w:w="72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69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1,500</w:t>
            </w:r>
          </w:p>
        </w:tc>
        <w:tc>
          <w:tcPr>
            <w:tcW w:w="599"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6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68"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70"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tin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each Trader (referring here and hereinafter to a Client, a Non-Futures Firm Member)</w:t>
      </w:r>
      <w:r>
        <w:rPr>
          <w:rFonts w:hint="eastAsia" w:ascii="Times New Roman" w:hAnsi="Times New Roman" w:eastAsia="宋体" w:cs="Times New Roman"/>
          <w:bCs/>
          <w:color w:val="auto"/>
          <w:kern w:val="0"/>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two (2) lots and a one-day delay is allowed under special market conditions; in the delivery month, the</w:t>
      </w:r>
      <w:r>
        <w:rPr>
          <w:rFonts w:hint="default" w:ascii="Times New Roman" w:hAnsi="Times New Roman" w:eastAsia="宋体" w:cs="Times New Roman"/>
          <w:bCs/>
          <w:color w:val="auto"/>
          <w:kern w:val="0"/>
          <w:sz w:val="22"/>
          <w:szCs w:val="22"/>
          <w:lang w:val="en-US" w:eastAsia="zh-CN" w:bidi="ar"/>
        </w:rPr>
        <w:t xml:space="preserve"> general</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positions as well as newly opened and closed-out positions shall be held in multiples of two (2)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tin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w:t>
      </w:r>
      <w:r>
        <w:rPr>
          <w:rFonts w:hint="default" w:ascii="Times New Roman" w:hAnsi="Times New Roman" w:eastAsia="宋体" w:cs="Times New Roman"/>
          <w:bCs/>
          <w:color w:val="auto"/>
          <w:kern w:val="0"/>
          <w:sz w:val="22"/>
          <w:szCs w:val="22"/>
          <w:lang w:val="en-US" w:eastAsia="zh-CN" w:bidi="ar"/>
        </w:rPr>
        <w:t xml:space="preserve"> Trader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tin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0"/>
          <w:sz w:val="22"/>
          <w:szCs w:val="22"/>
          <w:lang w:val="en-US" w:eastAsia="zh-CN" w:bidi="ar"/>
        </w:rPr>
        <w:t>of the settlement price of the base date</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 tin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 tin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 tin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 xml:space="preserve">Level 4: Unfilled orders shall be filled with the hedging positions eligible to fill the unfilled orders of a </w:t>
      </w:r>
      <w:r>
        <w:rPr>
          <w:rFonts w:hint="default" w:ascii="Times New Roman" w:hAnsi="Times New Roman" w:eastAsia="宋体" w:cs="Times New Roman"/>
          <w:bCs/>
          <w:color w:val="auto"/>
          <w:kern w:val="0"/>
          <w:sz w:val="22"/>
          <w:szCs w:val="22"/>
          <w:lang w:val="en-US" w:eastAsia="zh-CN" w:bidi="ar"/>
        </w:rPr>
        <w:t>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 tin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Tin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Tin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Tin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E7350"/>
    <w:rsid w:val="77FE7350"/>
    <w:rsid w:val="DF7E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2025-12-31T14:44:00Z</dcterms:created>
  <dc:creator>ji.shuoren</dc:creator>
  <cp:lastModifiedBy>ji.shuoren</cp:lastModifiedBy>
  <dcterms:modified xsi:type="dcterms:W3CDTF">2025-12-31T14:44:55Z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41FA76CF0F6F73CC53C6546902375C1C</vt:lpwstr>
  </property>
</Properties>
</file>