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p>
    <w:p>
      <w:pPr>
        <w:pStyle w:val="2"/>
        <w:keepNext w:val="0"/>
        <w:keepLines w:val="0"/>
        <w:widowControl/>
        <w:suppressLineNumbers w:val="0"/>
        <w:rPr>
          <w:rFonts w:hint="default" w:ascii="Times New Roman" w:hAnsi="Times New Roman" w:eastAsia="华文中宋" w:cs="Times New Roman"/>
          <w:b/>
          <w:bCs/>
          <w:kern w:val="2"/>
          <w:sz w:val="22"/>
          <w:szCs w:val="22"/>
        </w:rPr>
      </w:pPr>
      <w:r>
        <w:rPr>
          <w:rFonts w:hint="default" w:ascii="Times New Roman" w:hAnsi="Times New Roman" w:eastAsia="华文中宋" w:cs="Times New Roman"/>
          <w:b/>
          <w:bCs/>
          <w:kern w:val="2"/>
          <w:sz w:val="22"/>
          <w:szCs w:val="22"/>
        </w:rPr>
        <w:t>GOLD FUTURES RULES OF THE SHANGHAI FUTURES EXCHANGE</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bookmarkStart w:id="0" w:name="_GoBack"/>
      <w:bookmarkEnd w:id="0"/>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Gold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Gold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gold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Gold Futures Rules</w:t>
      </w:r>
      <w:r>
        <w:rPr>
          <w:rFonts w:hint="default" w:ascii="Times New Roman" w:hAnsi="Times New Roman" w:eastAsia="宋体" w:cs="Times New Roman"/>
          <w:color w:val="000000"/>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gold futures is one thousand (1000) grams per lot.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Price quotation of a </w:t>
      </w:r>
      <w:r>
        <w:rPr>
          <w:rFonts w:hint="default" w:ascii="Times New Roman" w:hAnsi="Times New Roman" w:eastAsia="宋体" w:cs="Times New Roman"/>
          <w:color w:val="auto"/>
          <w:kern w:val="2"/>
          <w:sz w:val="22"/>
          <w:szCs w:val="22"/>
          <w:lang w:val="en-US" w:eastAsia="zh-CN" w:bidi="ar"/>
        </w:rPr>
        <w:t>gold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(RMB)/gram.</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gold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zero point zero two (0.02) Yuan/gram.</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gold futures cover the most recent three (3) months and bimonthly contract for the most recent thirteen (13) months.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 gold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 gold futures contract is the 15th day of the contract month. The last trading day will be postponed accordingly if it is a legal holiday in China, and will be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gold futures is AU.</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 gold</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 application for a</w:t>
      </w:r>
      <w:r>
        <w:rPr>
          <w:rFonts w:hint="default" w:ascii="Times New Roman" w:hAnsi="Times New Roman" w:eastAsia="宋体" w:cs="Times New Roman"/>
          <w:b w:val="0"/>
          <w:bCs w:val="0"/>
          <w:color w:val="auto"/>
          <w:kern w:val="2"/>
          <w:sz w:val="22"/>
          <w:szCs w:val="22"/>
          <w:lang w:val="en-US" w:eastAsia="zh-CN" w:bidi="ar"/>
        </w:rPr>
        <w:t xml:space="preserve"> contract-specific regular month hedging position quota of a gold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 gold futures contract shall be submitted between the first trading day of the second</w:t>
      </w:r>
      <w:r>
        <w:rPr>
          <w:rFonts w:hint="default" w:ascii="Times New Roman" w:hAnsi="Times New Roman" w:eastAsia="宋体" w:cs="Times New Roman"/>
          <w:color w:val="C00000"/>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 gold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gold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gold futures contract may be physically delivered through an Exchange of Futures for Physicals (“EFP”)</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or a delivery warehouse.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Gold futures adopt duty-paid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14</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Grade and quality specifications</w:t>
      </w:r>
    </w:p>
    <w:p>
      <w:pPr>
        <w:keepNext w:val="0"/>
        <w:keepLines w:val="0"/>
        <w:widowControl/>
        <w:suppressLineNumbers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0"/>
          <w:sz w:val="22"/>
          <w:szCs w:val="22"/>
        </w:rPr>
      </w:pPr>
      <w:r>
        <w:rPr>
          <w:rFonts w:hint="default" w:ascii="Times New Roman" w:hAnsi="Times New Roman" w:eastAsia="方正大标宋简体" w:cs="Times New Roman"/>
          <w:color w:val="000000"/>
          <w:kern w:val="0"/>
          <w:sz w:val="22"/>
          <w:szCs w:val="22"/>
          <w:lang w:val="en-US" w:eastAsia="zh-CN" w:bidi="ar"/>
        </w:rPr>
        <w:t xml:space="preserve">Domestic gold ingots with a gold content no less than 99.95% and standard gold ingots produced by a supplier or refiner certified by the London Bullion Market Association (LBMA) and recognized by the Exchange.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15</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Deliverable commodities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Domestic gold ingots shall be of a brand registered with the Exchange.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Imported gold ingots shall be produced by a supplier or refiner certified by the London Bullion Market Association (LBMA) and recognized by the Exchange.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16</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Specifications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Deliverable gold ingots shall have a nominal weight of one thousand (1,000) grams (gold content no less than 99.99%) or three thousand (3,000) grams (gold content no less than 99.95%).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Gold ingots underlying each standard warrant shall consist of commodities of the same manufacturer, grade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(designation), registered trademark, quality grade, and shape.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17</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Packaging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Each gold ingot shall be wrapped with a clean paper or plastic film and placed in a wooden or plastic box. Gold products shall not be damaged or contaminated during transportation or storage.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18</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Tolerance and pound difference for each gold ingot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 three-thousand-gram (3,000) gold ingot shall have a maximum weight (fine weight) tolerance of plus or minus fifty (±50) grams. The weight (gross weight) of a one-thousand-gram ingot shall be no less than one thousand (1,000) grams and any excess will not be counted.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Each gold ingot shall have a maximum pound difference of plus or minus one-tenth (±0.1) gram.</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19</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Inter-facility transport fees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大标宋简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To meet owners’ needs to take or make delivery of gold ingots at their selected</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warehouses, the Exchange is responsible for transporting gold ingots to or from any gold delivery warehouse. The Exchange will collect inter-facility transport fees from an owner via the carrying Member on the warrant effective day and the shipment notice day. Specific fee standards will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20</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Storage fees for gold ingots will be regularly collected and paid via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Delivery unit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大标宋简体" w:cs="Times New Roman"/>
          <w:color w:val="000000"/>
          <w:kern w:val="0"/>
          <w:sz w:val="22"/>
          <w:szCs w:val="22"/>
        </w:rPr>
      </w:pPr>
      <w:r>
        <w:rPr>
          <w:rFonts w:hint="default" w:ascii="Times New Roman" w:hAnsi="Times New Roman" w:eastAsia="方正大标宋简体" w:cs="Times New Roman"/>
          <w:color w:val="000000"/>
          <w:kern w:val="0"/>
          <w:sz w:val="22"/>
          <w:szCs w:val="22"/>
          <w:lang w:val="en-US" w:eastAsia="zh-CN" w:bidi="ar"/>
        </w:rPr>
        <w:t>The delivery unit of a gold futures contract is the standard weight (fine weight) of three thousand (3,000) grams shown on the standard warrant.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gold delivery warehouses of the Exchange, to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大标宋简体" w:cs="Times New Roman"/>
          <w:color w:val="000000"/>
          <w:kern w:val="0"/>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方正大标宋简体" w:cs="Times New Roman"/>
          <w:color w:val="000000"/>
          <w:kern w:val="0"/>
          <w:sz w:val="22"/>
          <w:szCs w:val="22"/>
          <w:lang w:val="en-US" w:eastAsia="zh-CN" w:bidi="ar"/>
        </w:rPr>
        <w:t>A natural person Client shall not take physical delivery of gold.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24</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Physical delivery against a contract shall be completed within the delivery period prescribed therein, which is the first business day immediately following the last trading day of the contract. This day is called the delivery day.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0"/>
          <w:sz w:val="22"/>
          <w:szCs w:val="22"/>
        </w:rPr>
      </w:pPr>
      <w:r>
        <w:rPr>
          <w:rFonts w:hint="default" w:ascii="Times New Roman" w:hAnsi="Times New Roman" w:eastAsia="方正大标宋简体" w:cs="Times New Roman"/>
          <w:b/>
          <w:bCs/>
          <w:color w:val="000000"/>
          <w:kern w:val="0"/>
          <w:sz w:val="22"/>
          <w:szCs w:val="22"/>
          <w:lang w:val="en-US" w:eastAsia="zh-CN" w:bidi="ar"/>
        </w:rPr>
        <w:t>Article 25</w:t>
      </w:r>
      <w:r>
        <w:rPr>
          <w:rFonts w:hint="default" w:ascii="Times New Roman" w:hAnsi="Times New Roman" w:eastAsia="方正大标宋简体" w:cs="Times New Roman"/>
          <w:color w:val="000000"/>
          <w:kern w:val="0"/>
          <w:sz w:val="22"/>
          <w:szCs w:val="22"/>
          <w:lang w:val="en-US" w:eastAsia="zh-CN" w:bidi="ar"/>
        </w:rPr>
        <w:tab/>
      </w:r>
      <w:r>
        <w:rPr>
          <w:rFonts w:hint="default" w:ascii="Times New Roman" w:hAnsi="Times New Roman" w:eastAsia="方正大标宋简体" w:cs="Times New Roman"/>
          <w:color w:val="000000"/>
          <w:kern w:val="0"/>
          <w:sz w:val="22"/>
          <w:szCs w:val="22"/>
          <w:lang w:val="en-US" w:eastAsia="zh-CN" w:bidi="ar"/>
        </w:rPr>
        <w:t xml:space="preserve">Delivery Procedures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seller submits standard warrants. Before 12:00</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noon of the delivery day, the seller shall submit to the Exchange valid standard warrants with storage fees fully paid. The storage fees shall be paid by the seller till the delivery day (inclusive), after which the storage fees shall be borne by the buyer.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Exchange assigns the standard warrants.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buyer makes payment and receives the standard warrants. At the clearing on the delivery day, the exchange collects the buyer’s delivery payment through the in-house transfer system and releases the margin for the corresponding positions. The buyer will obtain the standard warrants after the clearing on the same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(iv)</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seller receives payment. The Exchange transfers the delivery payment to the seller through the in-house transfer system at the clearing on the delivery day.</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WAREHOUSE</w:t>
      </w:r>
      <w:r>
        <w:rPr>
          <w:rFonts w:hint="eastAsia" w:ascii="Times New Roman" w:hAnsi="Times New Roman" w:eastAsia="宋体" w:cs="Times New Roman"/>
          <w:b/>
          <w:bCs w:val="0"/>
          <w:color w:val="auto"/>
          <w:kern w:val="2"/>
          <w:sz w:val="22"/>
          <w:szCs w:val="22"/>
          <w:lang w:val="en-US" w:eastAsia="zh-CN" w:bidi="ar"/>
        </w:rPr>
        <w:t xml:space="preserve"> </w:t>
      </w:r>
      <w:r>
        <w:rPr>
          <w:rFonts w:hint="default" w:ascii="Times New Roman" w:hAnsi="Times New Roman" w:eastAsia="宋体" w:cs="Times New Roman"/>
          <w:b/>
          <w:bCs w:val="0"/>
          <w:color w:val="auto"/>
          <w:kern w:val="2"/>
          <w:sz w:val="22"/>
          <w:szCs w:val="22"/>
          <w:lang w:val="en-US" w:eastAsia="zh-CN" w:bidi="ar"/>
        </w:rPr>
        <w:t>LOAD-IN AND LOAD-OUT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26</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Load-in application (delivery notice)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大标宋简体" w:cs="Times New Roman"/>
          <w:color w:val="000000"/>
          <w:kern w:val="0"/>
          <w:sz w:val="22"/>
          <w:szCs w:val="22"/>
        </w:rPr>
      </w:pPr>
      <w:r>
        <w:rPr>
          <w:rFonts w:hint="default" w:ascii="Times New Roman" w:hAnsi="Times New Roman" w:eastAsia="方正大标宋简体" w:cs="Times New Roman"/>
          <w:color w:val="000000"/>
          <w:kern w:val="0"/>
          <w:sz w:val="22"/>
          <w:szCs w:val="22"/>
          <w:lang w:val="en-US" w:eastAsia="zh-CN" w:bidi="ar"/>
        </w:rPr>
        <w:t xml:space="preserve">Before shipping any gold to a gold delivery warehouse, an owner shall submit a load-in application (delivery notice) to the Exchange, specifying such information as the product, </w:t>
      </w:r>
      <w:r>
        <w:rPr>
          <w:rFonts w:hint="default" w:ascii="Times New Roman" w:hAnsi="Times New Roman" w:eastAsia="方正大标宋简体" w:cs="Times New Roman"/>
          <w:bCs/>
          <w:color w:val="000000"/>
          <w:kern w:val="0"/>
          <w:sz w:val="22"/>
          <w:szCs w:val="22"/>
          <w:lang w:val="en-US" w:eastAsia="zh-CN" w:bidi="ar"/>
        </w:rPr>
        <w:t>trademark,</w:t>
      </w:r>
      <w:r>
        <w:rPr>
          <w:rFonts w:hint="default" w:ascii="Times New Roman" w:hAnsi="Times New Roman" w:eastAsia="方正大标宋简体" w:cs="Times New Roman"/>
          <w:color w:val="000000"/>
          <w:kern w:val="0"/>
          <w:sz w:val="22"/>
          <w:szCs w:val="22"/>
          <w:lang w:val="en-US" w:eastAsia="zh-CN" w:bidi="ar"/>
        </w:rPr>
        <w:t xml:space="preserve"> grade, quantity, shipper, and proposed location of delivery. A Client shall authorize its carrying Member to submit the application.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27</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Approval of load-in application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大标宋简体" w:cs="Times New Roman"/>
          <w:color w:val="000000"/>
          <w:kern w:val="0"/>
          <w:sz w:val="22"/>
          <w:szCs w:val="22"/>
        </w:rPr>
      </w:pPr>
      <w:r>
        <w:rPr>
          <w:rFonts w:hint="default" w:ascii="Times New Roman" w:hAnsi="Times New Roman" w:eastAsia="方正大标宋简体" w:cs="Times New Roman"/>
          <w:color w:val="000000"/>
          <w:kern w:val="0"/>
          <w:sz w:val="22"/>
          <w:szCs w:val="22"/>
          <w:lang w:val="en-US" w:eastAsia="zh-CN" w:bidi="ar"/>
        </w:rPr>
        <w:t xml:space="preserve">If storage capacity permits, the Exchange will designate a gold delivery warehouse within three (3) business days based on the owner’s intents. The owner shall ship gold to the gold delivery warehouse specified in the approved load-in application within the time period prescribed by the Exchange. Any gold ingots loaded in the vault without the approval of the Exchange or beyond the prescribed time period shall not be used for physical delivery.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28</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Load-in inspection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When domestic gold ingots arrive at a gold delivery warehouse, the load-in procedure shall be handled by the designated personnel from the manufacturer whose gold brand has been registered with the Exchange;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When imported gold ingots arrive at a gold delivery warehouse, the load-in procedure shall be handled by the designated personnel from the import bank;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If any spot gold ingots, at the same warehouse, are to be the underlying commodity for a new standard warrant, valid certificates and other relevant documents evidencing that the ingots are loaded in by corresponding manufacturer or import bank shall be provided; and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(iv)</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A gold delivery warehouse shall inspect and verify newly arrived gold ingots and relevant documents. The inspection consists of quality inspection and quantity (weight) inspection.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For domestic gold ingots: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information in the certificate of quality issued by the manufacturer shall be taken as the result of quality inspection;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quantity (weight) inspection at load-in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The gold delivery warehouse shall verify the certificate of quality and the packing list of the manufacturer, count the number of ingots, and re-weigh each one. If the pound difference falls within the allowable range, the weight of a three-thousand-gram ingot shall be the gross weight shown on the manufacturer’s certificate of quality and packing list. The gross weight of a one-thousand-gram ingot shall be no less than one thousand (1,000) grams and any excess will not be counted.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For imported gold ingots: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information in the product label and relevant certificate of quality shall be taken as the result of quality inspection;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quantity (weight) inspection at load-in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The gold delivery warehouse shall count the number of ingots and re-weigh each one. The weight of a three-thousand-gram ingot shall be that re-weighed by the gold delivery warehouse. The gross weight of a one-thousand-gram ingot shall be no less than one thousand (1,000) grams and any excess will not be counted.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29</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Owner’s oversight of load-in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An owner shall oversee the load-in of its gold into the gold delivery warehouse, or otherwise be deemed to have agreed the inspection results of the warehouse.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30</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Issuance of standard warrants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After the load-in and verification of gold ingots, a gold delivery warehouse shall issue standard warrants and the owner shall confirm them through the Standard Warrant Management System. The standard warrants will become effective upon owner’s confirmation, and their effective day is the date on which the confirmation is made. The Exchange settles the tolerance, if any, on the effective day or the first trading day thereafter.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Load-out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An owner intending to take delivery shall submit a load-out application via the Standard Warrant Management System and select the location to take delivery. The Exchange will arrange a gold delivery warehouse in the selected location and will choose a shipment day from the five (5) business days following the receipt of the load-out application. The owner shall take delivery at the warehouse within two (2) business days from the shipment day. The Exchange will notify the owner of the shipment information through the Standard Warrant Management System in advance. This notice day will be deemed as the shipment notice day (and may coincide with the shipment day).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 Exchange will conduct tolerance settlement for the gold ingots to be loaded out on the shipment notice day.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When taking delivery, the owner shall enter the take-delivery password into the Standard Warrant Management System and provide a valid identification certificate. The gold delivery warehouse will ship the gold after verifying the identity of the delivery taker.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(iv)</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Completion of the </w:t>
      </w:r>
      <w:r>
        <w:rPr>
          <w:rFonts w:hint="default" w:ascii="Times New Roman" w:hAnsi="Times New Roman" w:eastAsia="宋体" w:cs="Times New Roman"/>
          <w:i/>
          <w:iCs/>
          <w:color w:val="000000"/>
          <w:kern w:val="2"/>
          <w:sz w:val="22"/>
          <w:szCs w:val="22"/>
          <w:lang w:val="en-US" w:eastAsia="zh-CN" w:bidi="ar"/>
        </w:rPr>
        <w:t>Load-Out Confirmation Form for Standard Warrant</w:t>
      </w:r>
      <w:r>
        <w:rPr>
          <w:rFonts w:hint="default" w:ascii="Times New Roman" w:hAnsi="Times New Roman" w:eastAsia="宋体" w:cs="Times New Roman"/>
          <w:color w:val="000000"/>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When shipping any gold, the gold delivery warehouse shall print out a </w:t>
      </w:r>
      <w:r>
        <w:rPr>
          <w:rFonts w:hint="default" w:ascii="Times New Roman" w:hAnsi="Times New Roman" w:eastAsia="宋体" w:cs="Times New Roman"/>
          <w:i/>
          <w:iCs/>
          <w:color w:val="000000"/>
          <w:kern w:val="2"/>
          <w:sz w:val="22"/>
          <w:szCs w:val="22"/>
          <w:lang w:val="en-US" w:eastAsia="zh-CN" w:bidi="ar"/>
        </w:rPr>
        <w:t>Load-out Confirmation Form for Standard Warrant</w:t>
      </w:r>
      <w:r>
        <w:rPr>
          <w:rFonts w:hint="default" w:ascii="Times New Roman" w:hAnsi="Times New Roman" w:eastAsia="宋体" w:cs="Times New Roman"/>
          <w:color w:val="000000"/>
          <w:kern w:val="2"/>
          <w:sz w:val="22"/>
          <w:szCs w:val="22"/>
          <w:lang w:val="en-US" w:eastAsia="zh-CN" w:bidi="ar"/>
        </w:rPr>
        <w:t xml:space="preserve"> in duplicate, one for the owner and one for itself, and properly retain its copy for future examination.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(v)</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If the owner fails to take delivery at the warehouse after submitting the load-out application, corresponding standard warrants will be canceled and the underlying gold ingots will be converted to physical products. Fees related to the conversion shall be negotiated and settled between the owner and the warehouse.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Disputes over quality or quantity (weight)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If the delivery taker disputes the quality or quantity (weight) of the gold ingots delivered, he or she shall raise an objection during the physical delivery at the gold delivery warehouse and shall engage a Designated Inspection Agency to take samples from the gold ingots for quality or quantity (weight) inspection.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The inspection agency’s report on the quality or quantity (weight) of the gold ingots shall be final. If any quality or quantity (weight) problem is identified, the delivery taker shall, within five (5) business days of receiving the relevant inspection report issued by the Designated Inspection Agency, submit a written objection to the Exchange together with the inspection report. Where the delivery taker does not submit a written objection or relevant inspection report, he or she shall be deemed to have no objection over the delivered gold ingots and the Exchange will no longer handle any objection regarding the gold ingots thus delivered.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If the inspection result shows the quality or quantity (weight) complies with the contract specifications, the delivery taker shall assume relevant costs. If not, the party who is accountable for the non-compliance shall assume the liability of compensation and relevant costs.</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 SETTLEMENT, TOLERANCE SETTLEMENT AT LOAD-IN AND LOAD-OUT, AND INVOICING PROCEDURES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33</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Tolerance is the allowable difference between the fine weight of gold ingots underlying a standard warrant and the standard weight (fine weight) shown on the standard warrant during the deposit or withdrawal of gold ingots. Such difference can be either positive or negative. The standard warrant effective day is the tolerance settlement benchmark day for the load-in of gold ingots; the shipment notice day is that for the load-out of gold ingots.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Fine weight of a gold ingot = gross weight × gold content.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Tolerance = fine weight - standard weight (fine weight) shown on 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standard warrant.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34</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i/>
          <w:iCs/>
          <w:color w:val="000000"/>
          <w:kern w:val="2"/>
          <w:sz w:val="22"/>
          <w:szCs w:val="22"/>
          <w:lang w:val="en-US" w:eastAsia="zh-CN" w:bidi="ar"/>
        </w:rPr>
        <w:t>Gold Settlement Special Invoice</w:t>
      </w:r>
      <w:r>
        <w:rPr>
          <w:rFonts w:hint="default" w:ascii="Times New Roman" w:hAnsi="Times New Roman" w:eastAsia="宋体" w:cs="Times New Roman"/>
          <w:color w:val="000000"/>
          <w:kern w:val="2"/>
          <w:sz w:val="22"/>
          <w:szCs w:val="22"/>
          <w:lang w:val="en-US" w:eastAsia="zh-CN" w:bidi="ar"/>
        </w:rPr>
        <w:t xml:space="preserve"> refers to the common invoice printed with the approval of competent taxation authorities solely for gold delivery settlement and relevant tolerance settlement. The invoice consists of an invoice copy, a settlement copy, and a record copy.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35</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Gold delivery settlement and invoicing procedures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Delivery settlement of gold futures: the final settlement price for a gold futures contract is </w:t>
      </w:r>
      <w:r>
        <w:rPr>
          <w:rFonts w:hint="default" w:ascii="Times New Roman" w:hAnsi="Times New Roman" w:eastAsia="宋体" w:cs="Times New Roman"/>
          <w:color w:val="auto"/>
          <w:kern w:val="2"/>
          <w:sz w:val="22"/>
          <w:szCs w:val="22"/>
          <w:lang w:val="en-US" w:eastAsia="zh-CN" w:bidi="ar"/>
        </w:rPr>
        <w:t>the arithmetic average of the settlement prices of that contract over the last five (5) trading days on which it was traded</w:t>
      </w:r>
      <w:r>
        <w:rPr>
          <w:rFonts w:hint="default" w:ascii="Times New Roman" w:hAnsi="Times New Roman" w:eastAsia="宋体" w:cs="Times New Roman"/>
          <w:color w:val="000000"/>
          <w:kern w:val="2"/>
          <w:sz w:val="22"/>
          <w:szCs w:val="22"/>
          <w:lang w:val="en-US" w:eastAsia="zh-CN" w:bidi="ar"/>
        </w:rPr>
        <w:t>. The buyer and the seller shall settle the contract at its final settlement price at the delivery settlement.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Settlement of delivery payment: delivery payment between the buyer and the seller shall be settled based on the standard weight (fine weight) shown on 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standard warrant. The Exchange only conducts settlement for its Members only. A buyer (Client) shall make payment through its carrying Member, and a seller (Client) shall receive payment through its carrying Member.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The delivery payment shall be calculated as follows: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Delivery payment = quantity of standard warrants × standard weight (fine weight) shown on each standard warrant × final settlement price.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Delivery invoice: a common invoice will be issued at delivery.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(iv)</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Circulation of a delivery invoice: after the seller (Client or Non-FF Member) issues a general invoice to the Exchange, the Exchange will issue a </w:t>
      </w:r>
      <w:r>
        <w:rPr>
          <w:rFonts w:hint="default" w:ascii="Times New Roman" w:hAnsi="Times New Roman" w:eastAsia="宋体" w:cs="Times New Roman"/>
          <w:i/>
          <w:iCs/>
          <w:color w:val="000000"/>
          <w:kern w:val="2"/>
          <w:sz w:val="22"/>
          <w:szCs w:val="22"/>
          <w:lang w:val="en-US" w:eastAsia="zh-CN" w:bidi="ar"/>
        </w:rPr>
        <w:t>Gold Settlement Special Invoice</w:t>
      </w:r>
      <w:r>
        <w:rPr>
          <w:rFonts w:hint="default" w:ascii="Times New Roman" w:hAnsi="Times New Roman" w:eastAsia="宋体" w:cs="Times New Roman"/>
          <w:color w:val="000000"/>
          <w:kern w:val="2"/>
          <w:sz w:val="22"/>
          <w:szCs w:val="22"/>
          <w:lang w:val="en-US" w:eastAsia="zh-CN" w:bidi="ar"/>
        </w:rPr>
        <w:t xml:space="preserve"> (invoice copy) to the buyer (Client or Non-FF Member), provide the settlement copy to the seller (Client or Non-FF Member), and retain the record copy.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Clients must exchange invoices and other documents with the Exchange via their carrying FF Members.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kern w:val="2"/>
          <w:sz w:val="22"/>
          <w:szCs w:val="22"/>
        </w:rPr>
      </w:pPr>
      <w:r>
        <w:rPr>
          <w:rFonts w:hint="default" w:ascii="Times New Roman" w:hAnsi="Times New Roman" w:eastAsia="仿宋_GB2312" w:cs="Times New Roman"/>
          <w:color w:val="auto"/>
          <w:kern w:val="2"/>
          <w:sz w:val="22"/>
          <w:szCs w:val="22"/>
          <w:lang w:val="en-US" w:eastAsia="zh-CN" w:bidi="ar"/>
        </w:rPr>
        <w:t>The seller shall submit the tax invoices specified by the Exchange within five (5) business days following the last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kern w:val="2"/>
          <w:sz w:val="22"/>
          <w:szCs w:val="22"/>
        </w:rPr>
      </w:pPr>
      <w:r>
        <w:rPr>
          <w:rFonts w:hint="default" w:ascii="Times New Roman" w:hAnsi="Times New Roman" w:eastAsia="仿宋_GB2312" w:cs="Times New Roman"/>
          <w:color w:val="auto"/>
          <w:kern w:val="2"/>
          <w:sz w:val="22"/>
          <w:szCs w:val="22"/>
          <w:lang w:val="en-US" w:eastAsia="zh-CN" w:bidi="ar"/>
        </w:rPr>
        <w:t>During the delivery period, if a seller’s carrying FF Member delivers the standard warrant according to applicable rules, the Exchange shall release the margin for the corresponding positions at the daily clearing. If the member fails to submit the tax invoice by market close on the third business day following the last trading day, the Exchange shall charge a margin no less than 15% of the final settlement price of the contract on the corresponding positions and release such margin after the member submits the invoice.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36</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Tolerance settlement at load-in and invoicing procedures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Tolerance settlement at load-in: any load-in tolerance of gold shall be settled at the settlement price of the nearest month gold futures contract listed on the Exchange on the trading day preceding the tolerance settlement benchmark day.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Documents related to tolerance settlement: for a positive tolerance, the gold depositor shall issue a general invoice to the Exchange; for a negative tolerance, the Exchange shall issue a Gold Settlement Special Invoice (invoice copy) to the depositor and retain the settlement copy and record copy.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 tolerance settlement payment shall be calculated as follows: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Tolerance settlement payment = tolerance × settlement price of the nearest month gold futures contract listed on the Exchange on the trading day preceding the tolerance settlement benchmark day.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37</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仿宋_GB2312" w:cs="Times New Roman"/>
          <w:color w:val="auto"/>
          <w:kern w:val="2"/>
          <w:sz w:val="22"/>
          <w:szCs w:val="22"/>
          <w:lang w:val="en-US" w:eastAsia="zh-CN" w:bidi="ar"/>
        </w:rPr>
        <w:t>Tolerance settlement at load-out and</w:t>
      </w:r>
      <w:r>
        <w:rPr>
          <w:rFonts w:hint="default" w:ascii="Times New Roman" w:hAnsi="Times New Roman" w:eastAsia="宋体" w:cs="Times New Roman"/>
          <w:color w:val="000000"/>
          <w:kern w:val="2"/>
          <w:sz w:val="22"/>
          <w:szCs w:val="22"/>
          <w:lang w:val="en-US" w:eastAsia="zh-CN" w:bidi="ar"/>
        </w:rPr>
        <w:t xml:space="preserve"> invoicing procedures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Tolerance settlement at the load-out of a standard warrant that has not been used for physical delivery: when a Member or Client (delivery taker) takes delivery with such a standard warrant, any tolerance shall be settled at the settlement price of the nearest month gold futures contract listed on the Exchange on the trading day preceding the tolerance settlement benchmark day. For a positive tolerance, the Exchange shall issue a </w:t>
      </w:r>
      <w:r>
        <w:rPr>
          <w:rFonts w:hint="default" w:ascii="Times New Roman" w:hAnsi="Times New Roman" w:eastAsia="宋体" w:cs="Times New Roman"/>
          <w:i/>
          <w:iCs/>
          <w:color w:val="auto"/>
          <w:kern w:val="2"/>
          <w:sz w:val="22"/>
          <w:szCs w:val="22"/>
          <w:lang w:val="en-US" w:eastAsia="zh-CN" w:bidi="ar"/>
        </w:rPr>
        <w:t>Gold Settlement Special Invoice</w:t>
      </w:r>
      <w:r>
        <w:rPr>
          <w:rFonts w:hint="default" w:ascii="Times New Roman" w:hAnsi="Times New Roman" w:eastAsia="宋体" w:cs="Times New Roman"/>
          <w:color w:val="auto"/>
          <w:kern w:val="2"/>
          <w:sz w:val="22"/>
          <w:szCs w:val="22"/>
          <w:lang w:val="en-US" w:eastAsia="zh-CN" w:bidi="ar"/>
        </w:rPr>
        <w:t xml:space="preserve"> (invoice copy) to the delivery taker and retain the settlement copy and record copy; for a negative tolerance, the delivery taker shall issue a general tax invoice to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Tolerance settlement at the load-out of a standard warrant that is acquired through physical delivery: when a Member or Client takes delivery with such a standard warrant, any tolerance shall be settled at the settlement price of the nearest month gold futures contract listed on the Exchange on the trading day preceding the tolerance settlement benchmark day. The competent taxation authority of the Exchange shall, on behalf of the Exchange, issue a special VAT invoice (the deduction copy) to the Member or the Client showing the actual delivery payment (consisting of the delivery payment and tolerance settlement payment) and the delivery quantity in accordance with the </w:t>
      </w:r>
      <w:r>
        <w:rPr>
          <w:rFonts w:hint="default" w:ascii="Times New Roman" w:hAnsi="Times New Roman" w:eastAsia="宋体" w:cs="Times New Roman"/>
          <w:i/>
          <w:iCs/>
          <w:color w:val="auto"/>
          <w:kern w:val="2"/>
          <w:sz w:val="22"/>
          <w:szCs w:val="22"/>
          <w:lang w:val="en-US" w:eastAsia="zh-CN" w:bidi="ar"/>
        </w:rPr>
        <w:t>Delivery Settlement Statement</w:t>
      </w:r>
      <w:r>
        <w:rPr>
          <w:rFonts w:hint="default"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Load-out Confirmation Form for Standard Warrant</w:t>
      </w:r>
      <w:r>
        <w:rPr>
          <w:rFonts w:hint="default" w:ascii="Times New Roman" w:hAnsi="Times New Roman" w:eastAsia="宋体" w:cs="Times New Roman"/>
          <w:color w:val="auto"/>
          <w:kern w:val="2"/>
          <w:sz w:val="22"/>
          <w:szCs w:val="22"/>
          <w:lang w:val="en-US" w:eastAsia="zh-CN" w:bidi="ar"/>
        </w:rPr>
        <w:t xml:space="preserve">, and </w:t>
      </w:r>
      <w:r>
        <w:rPr>
          <w:rFonts w:hint="default" w:ascii="Times New Roman" w:hAnsi="Times New Roman" w:eastAsia="宋体" w:cs="Times New Roman"/>
          <w:i/>
          <w:iCs/>
          <w:color w:val="auto"/>
          <w:kern w:val="2"/>
          <w:sz w:val="22"/>
          <w:szCs w:val="22"/>
          <w:lang w:val="en-US" w:eastAsia="zh-CN" w:bidi="ar"/>
        </w:rPr>
        <w:t>Tolerance Settlement Statement</w:t>
      </w:r>
      <w:r>
        <w:rPr>
          <w:rFonts w:hint="default" w:ascii="Times New Roman" w:hAnsi="Times New Roman" w:eastAsia="宋体" w:cs="Times New Roman"/>
          <w:color w:val="auto"/>
          <w:kern w:val="2"/>
          <w:sz w:val="22"/>
          <w:szCs w:val="22"/>
          <w:lang w:val="en-US" w:eastAsia="zh-CN" w:bidi="ar"/>
        </w:rPr>
        <w:t xml:space="preserve"> provided by the Member or the buyer. The invoice copy and the bookkeeping copy of the special VAT invoice shall be retained by the Exchange. If the Member or the Client is not a VAT payer, no special VAT invoice will be issued.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 tolerance settlement payment shall be calculated as follows: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Tolerance settlement payment = tolerance × settlement price of the nearest month gold futures contract listed on the Exchange on the trading day preceding the tolerance settlement benchmark day.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38</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actual delivery payment of the buyer (Client or Member) consists of the delivery payment and tolerance settlement payment, the former shall be determined on a “Last In, First Out” basis. The unit price, value, and tax amount of a special VAT invoice shall be calculated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Actual delivery payment = delivery payment + tolerance settlement payment;</w:t>
      </w:r>
    </w:p>
    <w:p>
      <w:pPr>
        <w:keepNext w:val="0"/>
        <w:keepLines w:val="0"/>
        <w:widowControl/>
        <w:suppressLineNumbers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Actual settlement price = actual delivery payment ÷ delivery quantity;</w:t>
      </w:r>
    </w:p>
    <w:p>
      <w:pPr>
        <w:keepNext w:val="0"/>
        <w:keepLines w:val="0"/>
        <w:widowControl/>
        <w:suppressLineNumbers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Unit price of the invoice = actual settlement price ÷ (1 + VAT rate);</w:t>
      </w:r>
    </w:p>
    <w:p>
      <w:pPr>
        <w:keepNext w:val="0"/>
        <w:keepLines w:val="0"/>
        <w:widowControl/>
        <w:suppressLineNumbers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0"/>
          <w:sz w:val="22"/>
          <w:szCs w:val="22"/>
        </w:rPr>
      </w:pPr>
      <w:r>
        <w:rPr>
          <w:rFonts w:hint="default" w:ascii="Times New Roman" w:hAnsi="Times New Roman" w:eastAsia="方正大标宋简体" w:cs="Times New Roman"/>
          <w:color w:val="000000"/>
          <w:kern w:val="0"/>
          <w:sz w:val="22"/>
          <w:szCs w:val="22"/>
          <w:lang w:val="en-US" w:eastAsia="zh-CN" w:bidi="ar"/>
        </w:rPr>
        <w:t>Value of the invoice = quantity × unit price of the invoice; and</w:t>
      </w:r>
    </w:p>
    <w:p>
      <w:pPr>
        <w:keepNext w:val="0"/>
        <w:keepLines w:val="0"/>
        <w:widowControl/>
        <w:suppressLineNumbers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0"/>
          <w:sz w:val="22"/>
          <w:szCs w:val="22"/>
        </w:rPr>
      </w:pPr>
      <w:r>
        <w:rPr>
          <w:rFonts w:hint="default" w:ascii="Times New Roman" w:hAnsi="Times New Roman" w:eastAsia="方正大标宋简体" w:cs="Times New Roman"/>
          <w:color w:val="000000"/>
          <w:kern w:val="0"/>
          <w:sz w:val="22"/>
          <w:szCs w:val="22"/>
          <w:lang w:val="en-US" w:eastAsia="zh-CN" w:bidi="ar"/>
        </w:rPr>
        <w:t>VAT amount = value of the invoice × VAT rate.</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EXCHANGE OF FUTURES FOR PHYSICALS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39</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standard warrants are used in the EFP, the commodity payment and the handover of standard warrants</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shall be exchanged on the Exchange by 2:00 p.m. on the first trading day after the EFP Application Day. The trading margin for the EFP shall be calculated based on the settlement price of the delivery month contract on the trading day preceding the EFP Application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仿宋_GB2312"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40</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standard warrants are used in the EFP, the seller shall submit a common invoice to the Exchange within five (5) working days after completing the EFP procedures. The Exchange shall issue a common invoice to the buyer and release the seller’s corresponding trading margin on the first business day after it receives the seller’s invoice.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大标宋简体" w:cs="Times New Roman"/>
          <w:color w:val="000000"/>
          <w:kern w:val="0"/>
          <w:sz w:val="22"/>
          <w:szCs w:val="22"/>
        </w:rPr>
      </w:pPr>
      <w:r>
        <w:rPr>
          <w:rFonts w:hint="default" w:ascii="Times New Roman" w:hAnsi="Times New Roman" w:eastAsia="方正大标宋简体" w:cs="Times New Roman"/>
          <w:color w:val="000000"/>
          <w:kern w:val="0"/>
          <w:sz w:val="22"/>
          <w:szCs w:val="22"/>
          <w:lang w:val="en-US" w:eastAsia="zh-CN" w:bidi="ar"/>
        </w:rPr>
        <w:t xml:space="preserve">Any failure to submit the common invoice within the prescribed time period shall be handled in accordance with the provisions of the </w:t>
      </w:r>
      <w:r>
        <w:rPr>
          <w:rFonts w:hint="default" w:ascii="Times New Roman" w:hAnsi="Times New Roman" w:eastAsia="方正大标宋简体" w:cs="Times New Roman"/>
          <w:i/>
          <w:iCs/>
          <w:color w:val="000000"/>
          <w:kern w:val="0"/>
          <w:sz w:val="22"/>
          <w:szCs w:val="22"/>
          <w:lang w:val="en-US" w:eastAsia="zh-CN" w:bidi="ar"/>
        </w:rPr>
        <w:t>Clearing Rules of the Shanghai Futures Exchange</w:t>
      </w:r>
      <w:r>
        <w:rPr>
          <w:rFonts w:hint="default" w:ascii="Times New Roman" w:hAnsi="Times New Roman" w:eastAsia="方正大标宋简体" w:cs="Times New Roman"/>
          <w:color w:val="000000"/>
          <w:kern w:val="0"/>
          <w:sz w:val="22"/>
          <w:szCs w:val="22"/>
          <w:lang w:val="en-US" w:eastAsia="zh-CN" w:bidi="ar"/>
        </w:rPr>
        <w:t xml:space="preserve"> on the late submission of special VAT invoices.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Delivery payment for an EFP settled via the Exchange shall be made through in-house transfer.</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gold futures contract is 4%.</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gold futures are as follows:</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5817"/>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Stage of Trading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listing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month prior to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second trading day prior to the last trading day</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gold futures contract is within ±3% of its settlement price of the preceding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45</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gold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69"/>
        <w:gridCol w:w="1622"/>
        <w:gridCol w:w="1540"/>
        <w:gridCol w:w="1162"/>
        <w:gridCol w:w="935"/>
        <w:gridCol w:w="1186"/>
        <w:gridCol w:w="9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580"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p>
        </w:tc>
        <w:tc>
          <w:tcPr>
            <w:tcW w:w="1891"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From the date of listing to the last trading day of second month prior to the delivery month</w:t>
            </w:r>
          </w:p>
        </w:tc>
        <w:tc>
          <w:tcPr>
            <w:tcW w:w="1254"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first month prior to the delivery month</w:t>
            </w:r>
          </w:p>
        </w:tc>
        <w:tc>
          <w:tcPr>
            <w:tcW w:w="1274"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6" w:hRule="atLeast"/>
          <w:jc w:val="center"/>
        </w:trPr>
        <w:tc>
          <w:tcPr>
            <w:tcW w:w="58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1891"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c>
          <w:tcPr>
            <w:tcW w:w="1254"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c>
          <w:tcPr>
            <w:tcW w:w="1274"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3" w:hRule="atLeast"/>
          <w:jc w:val="center"/>
        </w:trPr>
        <w:tc>
          <w:tcPr>
            <w:tcW w:w="58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970"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920"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Client</w:t>
            </w:r>
          </w:p>
        </w:tc>
        <w:tc>
          <w:tcPr>
            <w:tcW w:w="695"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559"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Client</w:t>
            </w:r>
          </w:p>
        </w:tc>
        <w:tc>
          <w:tcPr>
            <w:tcW w:w="709"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56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71" w:hRule="atLeast"/>
          <w:jc w:val="center"/>
        </w:trPr>
        <w:tc>
          <w:tcPr>
            <w:tcW w:w="580" w:type="pct"/>
            <w:tcBorders>
              <w:top w:val="single" w:color="auto" w:sz="6" w:space="0"/>
              <w:left w:val="single" w:color="auto" w:sz="6" w:space="0"/>
              <w:bottom w:val="single" w:color="auto" w:sz="6" w:space="0"/>
              <w:right w:val="single" w:color="auto" w:sz="6" w:space="0"/>
            </w:tcBorders>
            <w:shd w:val="clear" w:color="auto" w:fill="FFFFFF"/>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gold</w:t>
            </w:r>
          </w:p>
        </w:tc>
        <w:tc>
          <w:tcPr>
            <w:tcW w:w="970" w:type="pct"/>
            <w:tcBorders>
              <w:top w:val="single" w:color="auto" w:sz="6" w:space="0"/>
              <w:left w:val="single" w:color="auto" w:sz="6" w:space="0"/>
              <w:bottom w:val="single" w:color="auto" w:sz="6" w:space="0"/>
              <w:right w:val="single" w:color="auto" w:sz="6" w:space="0"/>
            </w:tcBorders>
            <w:shd w:val="clear" w:color="auto" w:fill="FFFFFF"/>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18,000</w:t>
            </w:r>
          </w:p>
        </w:tc>
        <w:tc>
          <w:tcPr>
            <w:tcW w:w="920" w:type="pct"/>
            <w:tcBorders>
              <w:top w:val="single" w:color="auto" w:sz="6" w:space="0"/>
              <w:left w:val="single" w:color="auto" w:sz="6" w:space="0"/>
              <w:bottom w:val="single" w:color="auto" w:sz="6" w:space="0"/>
              <w:right w:val="single" w:color="auto" w:sz="6" w:space="0"/>
            </w:tcBorders>
            <w:shd w:val="clear" w:color="auto" w:fill="FFFFFF"/>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9,000</w:t>
            </w:r>
          </w:p>
        </w:tc>
        <w:tc>
          <w:tcPr>
            <w:tcW w:w="695" w:type="pct"/>
            <w:tcBorders>
              <w:top w:val="single" w:color="auto" w:sz="6" w:space="0"/>
              <w:left w:val="single" w:color="auto" w:sz="6" w:space="0"/>
              <w:bottom w:val="single" w:color="auto" w:sz="6" w:space="0"/>
              <w:right w:val="single" w:color="auto" w:sz="6" w:space="0"/>
            </w:tcBorders>
            <w:shd w:val="clear" w:color="auto" w:fill="FFFFFF"/>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5,400</w:t>
            </w:r>
          </w:p>
        </w:tc>
        <w:tc>
          <w:tcPr>
            <w:tcW w:w="559" w:type="pct"/>
            <w:tcBorders>
              <w:top w:val="single" w:color="auto" w:sz="6" w:space="0"/>
              <w:left w:val="single" w:color="auto" w:sz="6" w:space="0"/>
              <w:bottom w:val="single" w:color="auto" w:sz="6" w:space="0"/>
              <w:right w:val="single" w:color="auto" w:sz="6" w:space="0"/>
            </w:tcBorders>
            <w:shd w:val="clear" w:color="auto" w:fill="FFFFFF"/>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2,700</w:t>
            </w:r>
          </w:p>
        </w:tc>
        <w:tc>
          <w:tcPr>
            <w:tcW w:w="709" w:type="pct"/>
            <w:tcBorders>
              <w:top w:val="single" w:color="auto" w:sz="6" w:space="0"/>
              <w:left w:val="single" w:color="auto" w:sz="6" w:space="0"/>
              <w:bottom w:val="single" w:color="auto" w:sz="6" w:space="0"/>
              <w:right w:val="single" w:color="auto" w:sz="6" w:space="0"/>
            </w:tcBorders>
            <w:shd w:val="clear" w:color="auto" w:fill="FFFFFF"/>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1,800</w:t>
            </w:r>
          </w:p>
        </w:tc>
        <w:tc>
          <w:tcPr>
            <w:tcW w:w="564" w:type="pct"/>
            <w:tcBorders>
              <w:top w:val="single" w:color="auto" w:sz="6" w:space="0"/>
              <w:left w:val="single" w:color="auto" w:sz="6" w:space="0"/>
              <w:bottom w:val="single" w:color="auto" w:sz="6" w:space="0"/>
              <w:right w:val="single" w:color="auto" w:sz="6" w:space="0"/>
            </w:tcBorders>
            <w:shd w:val="clear" w:color="auto" w:fill="FFFFFF"/>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900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46</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For contracts in gold futures, by the close of the last trading day of the month prior to the delivery month, </w:t>
      </w:r>
      <w:r>
        <w:rPr>
          <w:rFonts w:hint="default" w:ascii="Times New Roman" w:hAnsi="Times New Roman" w:eastAsia="宋体" w:cs="Times New Roman"/>
          <w:bCs/>
          <w:color w:val="auto"/>
          <w:kern w:val="0"/>
          <w:sz w:val="22"/>
          <w:szCs w:val="22"/>
          <w:lang w:val="en-US" w:eastAsia="zh-CN" w:bidi="ar"/>
        </w:rPr>
        <w:t xml:space="preserve">each Trader (referring here and hereinafter to a Client, a Non-Futures Firm Member) </w:t>
      </w:r>
      <w:r>
        <w:rPr>
          <w:rFonts w:hint="default" w:ascii="Times New Roman" w:hAnsi="Times New Roman" w:eastAsia="宋体" w:cs="Times New Roman"/>
          <w:bCs/>
          <w:color w:val="auto"/>
          <w:kern w:val="2"/>
          <w:sz w:val="22"/>
          <w:szCs w:val="22"/>
          <w:lang w:val="en-US" w:eastAsia="zh-CN" w:bidi="ar"/>
        </w:rPr>
        <w:t xml:space="preserve">shall adjust </w:t>
      </w:r>
      <w:r>
        <w:rPr>
          <w:rFonts w:hint="default" w:ascii="Times New Roman" w:hAnsi="Times New Roman" w:eastAsia="宋体" w:cs="Times New Roman"/>
          <w:bCs/>
          <w:color w:val="auto"/>
          <w:kern w:val="0"/>
          <w:sz w:val="22"/>
          <w:szCs w:val="22"/>
          <w:lang w:val="en-US" w:eastAsia="zh-CN" w:bidi="ar"/>
        </w:rPr>
        <w:t>its general</w:t>
      </w:r>
      <w:r>
        <w:rPr>
          <w:rFonts w:hint="default" w:ascii="Times New Roman" w:hAnsi="Times New Roman" w:eastAsia="宋体" w:cs="Times New Roman"/>
          <w:bCs/>
          <w:color w:val="auto"/>
          <w:kern w:val="2"/>
          <w:sz w:val="22"/>
          <w:szCs w:val="22"/>
          <w:lang w:val="en-US" w:eastAsia="zh-CN" w:bidi="ar"/>
        </w:rPr>
        <w:t xml:space="preserve"> positions held under its trading code, to multiples of three (3) lots and a one-day delay is allowed under special market conditions; in the delivery month,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positions as well as newly opened and closed-out positions shall be held in multiples of three (3) lots.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47</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 gold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 to fill the unfilled orders</w:t>
      </w:r>
      <w:r>
        <w:rPr>
          <w:rFonts w:hint="default" w:ascii="Times New Roman" w:hAnsi="Times New Roman" w:eastAsia="宋体" w:cs="Times New Roman"/>
          <w:bCs/>
          <w:color w:val="auto"/>
          <w:kern w:val="0"/>
          <w:sz w:val="22"/>
          <w:szCs w:val="22"/>
          <w:lang w:val="en-US" w:eastAsia="zh-CN" w:bidi="ar"/>
        </w:rPr>
        <w:t xml:space="preserve"> of a Trader</w:t>
      </w:r>
      <w:r>
        <w:rPr>
          <w:rFonts w:hint="default" w:ascii="Times New Roman" w:hAnsi="Times New Roman" w:eastAsia="宋体" w:cs="Times New Roman"/>
          <w:bCs/>
          <w:color w:val="auto"/>
          <w:kern w:val="2"/>
          <w:sz w:val="22"/>
          <w:szCs w:val="22"/>
          <w:lang w:val="en-US" w:eastAsia="zh-CN" w:bidi="ar"/>
        </w:rPr>
        <w:t>, and the principles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Amount of the unfilled orders subject to the order fill. The term “amount of unfilled orders subject to the order fill” means the total amount of all the unfilled orders submitted after the close of the base date at the limit price into the central order book by each </w:t>
      </w:r>
      <w:r>
        <w:rPr>
          <w:rFonts w:hint="default" w:ascii="Times New Roman" w:hAnsi="Times New Roman" w:eastAsia="宋体" w:cs="Times New Roman"/>
          <w:bCs/>
          <w:color w:val="auto"/>
          <w:kern w:val="0"/>
          <w:sz w:val="22"/>
          <w:szCs w:val="22"/>
          <w:lang w:val="en-US" w:eastAsia="zh-CN" w:bidi="ar"/>
        </w:rPr>
        <w:t xml:space="preserve">Trader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gold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the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gold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three percent (3%) but no more than six percent (6%) of the settlement price on the base date for contracts with respect to</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gold futures, or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 Gains of Over 3%;</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more than three percent (3%)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gold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Below 3%;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gold</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futures, or the Hedging Position Gains of Over 6%.</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greater than or equal to that of the unfilled orders, the unfilled orders shall be filled pro rata to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smaller than that of the unfilled orders,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shall be filled pro rata to the amount of the unfilled orders. The residual unfilled orders, if any,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Gains of Over 3%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Below 3%, and so to the Hedging Position Gains of Over 6%.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iCs/>
          <w:kern w:val="2"/>
          <w:sz w:val="22"/>
          <w:szCs w:val="22"/>
        </w:rPr>
      </w:pPr>
      <w:r>
        <w:rPr>
          <w:rFonts w:hint="default" w:ascii="Times New Roman" w:hAnsi="Times New Roman" w:eastAsia="宋体" w:cs="Times New Roman"/>
          <w:b/>
          <w:bCs/>
          <w:color w:val="auto"/>
          <w:kern w:val="2"/>
          <w:sz w:val="22"/>
          <w:szCs w:val="22"/>
          <w:lang w:val="en-US" w:eastAsia="zh-CN" w:bidi="ar"/>
        </w:rPr>
        <w:t>Article 48</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49</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For the purpose of these </w:t>
      </w:r>
      <w:r>
        <w:rPr>
          <w:rFonts w:hint="default" w:ascii="Times New Roman" w:hAnsi="Times New Roman" w:eastAsia="宋体" w:cs="Times New Roman"/>
          <w:i/>
          <w:iCs/>
          <w:color w:val="000000"/>
          <w:kern w:val="2"/>
          <w:sz w:val="22"/>
          <w:szCs w:val="22"/>
          <w:lang w:val="en-US" w:eastAsia="zh-CN" w:bidi="ar"/>
        </w:rPr>
        <w:t>Gold Futures Rules</w:t>
      </w:r>
      <w:r>
        <w:rPr>
          <w:rFonts w:hint="default" w:ascii="Times New Roman" w:hAnsi="Times New Roman" w:eastAsia="宋体" w:cs="Times New Roman"/>
          <w:color w:val="000000"/>
          <w:kern w:val="2"/>
          <w:sz w:val="22"/>
          <w:szCs w:val="22"/>
          <w:lang w:val="en-US" w:eastAsia="zh-CN" w:bidi="ar"/>
        </w:rPr>
        <w:t>, “gross weight” of a gold ingot refers to its weight excluding packaging; “fine weight” refers to its weight of pure gold, fine weight = gross weight × gold content (fineness).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Gold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51</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Gold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52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Gold Futures Rules</w:t>
      </w:r>
      <w:r>
        <w:rPr>
          <w:rFonts w:hint="default" w:ascii="Times New Roman" w:hAnsi="Times New Roman" w:eastAsia="宋体" w:cs="Times New Roman"/>
          <w:bCs/>
          <w:color w:val="auto"/>
          <w:kern w:val="2"/>
          <w:sz w:val="22"/>
          <w:szCs w:val="22"/>
          <w:lang w:val="en-US" w:eastAsia="zh-CN" w:bidi="ar"/>
        </w:rPr>
        <w:t xml:space="preserve"> take effect o</w:t>
      </w:r>
      <w:r>
        <w:rPr>
          <w:rFonts w:hint="default" w:ascii="Times New Roman" w:hAnsi="Times New Roman" w:eastAsia="宋体" w:cs="Times New Roman"/>
          <w:color w:val="auto"/>
          <w:kern w:val="2"/>
          <w:sz w:val="22"/>
          <w:szCs w:val="22"/>
          <w:lang w:val="en-US" w:eastAsia="zh-CN" w:bidi="ar"/>
        </w:rPr>
        <w:t xml:space="preserve">n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仿宋_GB2312">
    <w:altName w:val="宋体"/>
    <w:panose1 w:val="00000000000000000000"/>
    <w:charset w:val="00"/>
    <w:family w:val="auto"/>
    <w:pitch w:val="default"/>
    <w:sig w:usb0="00000000" w:usb1="00000000" w:usb2="00000000" w:usb3="00000000" w:csb0="00040001" w:csb1="00000000"/>
  </w:font>
  <w:font w:name="方正大标宋简体">
    <w:panose1 w:val="02000000000000000000"/>
    <w:charset w:val="86"/>
    <w:family w:val="auto"/>
    <w:pitch w:val="default"/>
    <w:sig w:usb0="00000001" w:usb1="08000000" w:usb2="00000000" w:usb3="00000000" w:csb0="00040000" w:csb1="00000000"/>
  </w:font>
  <w:font w:name="等线">
    <w:altName w:val="华文中宋"/>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B3E40"/>
    <w:rsid w:val="77CB3E40"/>
    <w:rsid w:val="CFF7E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2025-12-31T14:48:00Z</dcterms:created>
  <dc:creator>ji.shuoren</dc:creator>
  <cp:lastModifiedBy>ji.shuoren</cp:lastModifiedBy>
  <dcterms:modified xsi:type="dcterms:W3CDTF">2025-12-31T14:50:49Z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7A6B99A94501EDB647C754695583BAC1</vt:lpwstr>
  </property>
</Properties>
</file>