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val="0"/>
          <w:bCs/>
          <w:kern w:val="2"/>
          <w:sz w:val="22"/>
          <w:szCs w:val="22"/>
        </w:rPr>
      </w:pPr>
      <w:r>
        <w:rPr>
          <w:rFonts w:hint="default" w:ascii="Times New Roman" w:hAnsi="Times New Roman" w:eastAsia="华文中宋" w:cs="Times New Roman"/>
          <w:b/>
          <w:bCs/>
          <w:kern w:val="2"/>
          <w:sz w:val="22"/>
          <w:szCs w:val="22"/>
        </w:rPr>
        <w:t>WIRE ROD FUTURES RULES OF THE SHANGHAI FUTURES EXCHANGE</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bookmarkStart w:id="0" w:name="_GoBack"/>
      <w:bookmarkEnd w:id="0"/>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Wire Rod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Wire Rod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wire rod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Wire Rod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wire rod futures is ten (10) metric tons per lot.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wire rod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wire rod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(1) Yuan/metric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wire rod futures cover the most recent twelve (12) months.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wire rod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wire rod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the 15th day of the contract month (postponed accordingly if it is a legal holiday in China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and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 xml:space="preserve">Article </w:t>
      </w:r>
      <w:r>
        <w:rPr>
          <w:rFonts w:hint="default" w:ascii="Times New Roman" w:hAnsi="Times New Roman" w:eastAsia="宋体" w:cs="Times New Roman"/>
          <w:color w:val="auto"/>
          <w:kern w:val="2"/>
          <w:sz w:val="22"/>
          <w:szCs w:val="22"/>
          <w:lang w:val="en-US" w:eastAsia="zh-CN" w:bidi="ar"/>
        </w:rPr>
        <w:t>9</w:t>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wire rod futures is WR.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wire rod</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An application for a </w:t>
      </w:r>
      <w:r>
        <w:rPr>
          <w:rFonts w:hint="default" w:ascii="Times New Roman" w:hAnsi="Times New Roman" w:eastAsia="宋体" w:cs="Times New Roman"/>
          <w:b w:val="0"/>
          <w:bCs w:val="0"/>
          <w:color w:val="auto"/>
          <w:kern w:val="2"/>
          <w:sz w:val="22"/>
          <w:szCs w:val="22"/>
          <w:lang w:val="en-US" w:eastAsia="zh-CN" w:bidi="ar"/>
        </w:rPr>
        <w:t xml:space="preserve">contract-specific regular month hedging position quota of a wire rod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wire rod futures contract shall be submitted between the first trading day of the second</w:t>
      </w:r>
      <w:r>
        <w:rPr>
          <w:rFonts w:hint="default" w:ascii="Times New Roman" w:hAnsi="Times New Roman" w:eastAsia="宋体" w:cs="Times New Roman"/>
          <w:color w:val="auto"/>
          <w:kern w:val="2"/>
          <w:sz w:val="22"/>
          <w:szCs w:val="22"/>
          <w:lang w:val="en-US" w:eastAsia="zh-CN" w:bidi="ar"/>
        </w:rPr>
        <w:t xml:space="preserve"> month before the delivery month of the contract and the last trading day of the month before the delivery month. Late applications will not be accepted by the Exchange. An application for a nearby delivery month arbitrage position quota of a wire rod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wire rod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 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wire rod futures contract may be physically delivered through an Exchange of Futures for Physicals (“EFP”), a delivery warehouse, or a delivery factory.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Wire rod futures adopt duty-paid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Wire Rod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Quality specifications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deliverable wire rods shall be registered commodities from a manufacturer registered with the Exchange.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shape, dimension, weight, and tolerance of deliverable wire rods shall conform to</w:t>
      </w:r>
      <w:r>
        <w:rPr>
          <w:rFonts w:hint="default" w:ascii="Times New Roman" w:hAnsi="Times New Roman" w:eastAsia="宋体" w:cs="Times New Roman"/>
          <w:iCs/>
          <w:color w:val="auto"/>
          <w:kern w:val="2"/>
          <w:sz w:val="22"/>
          <w:szCs w:val="22"/>
          <w:lang w:val="en-US" w:eastAsia="zh-CN" w:bidi="ar"/>
        </w:rPr>
        <w:t xml:space="preserve"> the specifications of National Standard GB 1499.1-2024: </w:t>
      </w:r>
      <w:r>
        <w:rPr>
          <w:rFonts w:hint="default" w:ascii="Times New Roman" w:hAnsi="Times New Roman" w:eastAsia="宋体" w:cs="Times New Roman"/>
          <w:i/>
          <w:iCs w:val="0"/>
          <w:color w:val="auto"/>
          <w:kern w:val="2"/>
          <w:sz w:val="22"/>
          <w:szCs w:val="22"/>
          <w:lang w:val="en-US" w:eastAsia="zh-CN" w:bidi="ar"/>
        </w:rPr>
        <w:t>Steel for Reinforced Concrete, Part 1: Hot-Rolled Plain Bars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Packaging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Wire rods shall be delivered in coils and their packaging, mark, and certificate of quality shall conform to the</w:t>
      </w:r>
      <w:r>
        <w:rPr>
          <w:rFonts w:hint="default" w:ascii="Times New Roman" w:hAnsi="Times New Roman" w:eastAsia="宋体" w:cs="Times New Roman"/>
          <w:iCs/>
          <w:color w:val="auto"/>
          <w:kern w:val="2"/>
          <w:sz w:val="22"/>
          <w:szCs w:val="22"/>
          <w:lang w:val="en-US" w:eastAsia="zh-CN" w:bidi="ar"/>
        </w:rPr>
        <w:t xml:space="preserve"> specifications of National Standard GB 1499.1-2024:</w:t>
      </w:r>
      <w:r>
        <w:rPr>
          <w:rFonts w:hint="default" w:ascii="Times New Roman" w:hAnsi="Times New Roman" w:eastAsia="宋体" w:cs="Times New Roman"/>
          <w:i/>
          <w:iCs w:val="0"/>
          <w:color w:val="auto"/>
          <w:kern w:val="2"/>
          <w:sz w:val="22"/>
          <w:szCs w:val="22"/>
          <w:lang w:val="en-US" w:eastAsia="zh-CN" w:bidi="ar"/>
        </w:rPr>
        <w:t xml:space="preserve"> Steel for Reinforced Concrete, Part</w:t>
      </w:r>
      <w:r>
        <w:rPr>
          <w:rFonts w:hint="eastAsia" w:ascii="Times New Roman" w:hAnsi="Times New Roman" w:eastAsia="宋体" w:cs="Times New Roman"/>
          <w:i/>
          <w:iCs w:val="0"/>
          <w:color w:val="auto"/>
          <w:kern w:val="2"/>
          <w:sz w:val="22"/>
          <w:szCs w:val="22"/>
          <w:lang w:val="en-US" w:eastAsia="zh-CN" w:bidi="ar"/>
        </w:rPr>
        <w:t xml:space="preserve"> </w:t>
      </w:r>
      <w:r>
        <w:rPr>
          <w:rFonts w:hint="default" w:ascii="Times New Roman" w:hAnsi="Times New Roman" w:eastAsia="宋体" w:cs="Times New Roman"/>
          <w:i/>
          <w:iCs w:val="0"/>
          <w:color w:val="auto"/>
          <w:kern w:val="2"/>
          <w:sz w:val="22"/>
          <w:szCs w:val="22"/>
          <w:lang w:val="en-US" w:eastAsia="zh-CN" w:bidi="ar"/>
        </w:rPr>
        <w:t>1: Hot-Rolled Plain Bars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Wire rods underlying each standard warrant shall consist of commodity of the same manufacturer, grade (designation), registered trademark, and nominal diameter, and have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their dates of production variance spanning no more than ten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(10) consecutive days. The earliest of such dates shall be taken as the date of production on the standard warrant.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commodities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certificate of quality issued by the registered manufacturer shall be provided.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Tolerance and pound difference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deliverable wire rods shall be measured by actual weight. Difference between standard warrant weight and actual delivery weight shall not exceed plus or minus three percent (±3%). Pound difference shall not exceed plus or minus three-tenths of one percent (±0.3%).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wire rod futures contract is three hundred (300) metric tons.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wire rod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wire rod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 WAREHOUSE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validity period of each delivery set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of wire rods shall be ninety (90) days following the date of production. A warehouse standard warrant shall not be issued unless the commodity is delivered to a delivery warehouse within thirty (30) days following the date of production.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Deliverable wire rods underlying each warehouse standard warrant shall be stacked together.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(any wire rod in dispute shall remain in the delivery warehouse), the buyer shall submit a written request to the Exchange for dispute resolution before the fifteenth</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(15) day (including that day) of the month following the delivery month (in case that day falls on a public holiday, the date shall be extended to the first business day after the holiday), together with the quality assay report issued by a Designated Inspection Agency. The validity period for each batch of the delivered wire rod shall cover the last delivery day of that delivery. Even if the validity period expires before the final date for the submission of a request for dispute resolution, the seller shall be responsible for the delivered commodities in the event that they fail the quality assay.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 FACTORY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applicant for certification as a delivery factory whose net assets are less than RMB 100 million (100,000,000) yuan shall provide the Exchange with a letter of guarantee issued by a relevant organization.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 locations for a factory delivery include places of production of the registered enterprises for the deliverable commodities of the Exchange’s relevant steel futures products, the Delivery Storage Facilities, and other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locations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Factory take-delivery locations are classified into benchmark take-delivery locations and non-benchmark take-delivery locations.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benchmark take-delivery locations and the corresponding take-delivery premiums and discounts are as determined and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non-benchmark take-delivery locations and the corresponding take-delivery premiums and discounts are as determined and adjusted by Factories and announced on the website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take-delivery premium and discount of a take-delivery location shall be settled by the Factory and the owner holding the relevant factory standard warrants based on the weight indicated on those warrants.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holding factory standard warrants shall select and confirm the take-delivery location when submitting an 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30</w:t>
      </w:r>
      <w:r>
        <w:rPr>
          <w:rFonts w:hint="default" w:ascii="Times New Roman" w:hAnsi="Times New Roman" w:eastAsia="宋体" w:cs="Times New Roman"/>
          <w:b/>
          <w:bCs/>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Before issuing any factory standard warrants, a Factory shall submit an issuance notice to the Exchange, specifying such information as the product, grade (designation), trademark, name of the carrying Member, name of the owner, and the quantity of standard warrants to be issued.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Validity period for the delivery of factory standard warrants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auto"/>
          <w:kern w:val="2"/>
          <w:sz w:val="22"/>
          <w:szCs w:val="22"/>
          <w:lang w:val="en-US" w:eastAsia="zh-CN" w:bidi="ar"/>
        </w:rPr>
        <w:t>The validity period for the delivery of wire rod factory standard warrants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hundred and eighty (180) days from the date of creation of such warrant.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shd w:val="clear" w:color="auto" w:fill="7F7F7F"/>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submit an application through the Standard Warrant Management System to the intended Factory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 accordance with</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minimum take-delivery quantity, the application cut-off date, and other requirements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of the selected take-delivery location. The specific</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requirements will be separately announced by the Exchange. The application shall specify such information as the quantity of the commodity, the proposed take-delivery date, method, and plan (including daily quantity), as well as the identification certificate and telephone number of the delivery taker.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will confirm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owner’s application within three (3) business days of receiving it after considering, among others, the owner’s proposed take-delivery date, specifications of the commodity, and corresponding manufacturer’s production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If</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owner’s proposed take-delivery date coincides with that of other owners holding factory standard warrants and their total daily take-delivery quantity exceeds the daily shipment quantity of the Factory, the Factory may make an overall arrangement for shipment considering the order of submission of applications by owners, their take-delivery plans, and production plans, and within three (3) business days after the owner’s submission of application, provide the owner with a take-delivery time period to choose from and a corresponding shipment plan (including daily shipment quantity). If agreeing to the arrangement, the owner may choose one (1) day from the said period as the take-delivery date and confirm the shipment plan; otherwise, the owner shall negotiate with the Factory again to reach an agreement on the take-delivery date and the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shall be exempt from any financial liability for any owner’s delay in taking delivery due to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take-deliveries made by multiple owners as described in the above sub-paragraph, provided that the Factory shall timely report such delay and its causes to the Exchange for written record.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Production date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production date of load-out commodity shall be within ninety (90) days before the take-delivery date agreed between the owner and the Factory. The wire rods to be loaded out under each factory standard warrant shall have production dates within a period of thirty (30) consecutive days.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weight of load-out commodity shall be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inspected</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by the Factory.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35</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take delivery at the Factory on the agreed take-delivery date according to the shipment plan. If the owner misses the agreed take-delivery date but takes delivery within fifteen (15) days (including the 15th day) thereafter or if the owner fails to take delivery according to the agreed daily take-delivery plan due to any reasons not attributable to the Factory, then the Factory shall still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assume responsibility for commodity quality in accordance with relevant futures standards, and make an overall shipment plan based on the take-delivery quantities of all owners until all corresponding commodities are shipped.</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owner shall pay an overdue fine to the Factory.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Overdue fine = 2 yuan/metric ton per day × quantity of commodity that should have been taken × number of days overdue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Any shipment delay caused by the owner shall be resolved by both parties through a separate agreement.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fails to take delivery at the Factory within fifteen (15) days (including the 15th day) after the agreed take-delivery date,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which leads to the cancellation of its factory standard warrants, then the owner shall pay an overdue fine to the Factory, and the underlying commodities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shall be converted into physical products, of which details for taking delivery shall be agreed upon by the parties through negotiation.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Overdue fine = 35 yuan/metric ton × quantity of commodity that should have been taken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takes delivery on the agreed take-delivery date at the Factory, but the Factory fails to ship the commodity according to the agreed shipment plan but still completes the shipment within fifteen (15) days (including the 15th day) after the agreed take-delivery date, then the Factory shall pay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Factory fails to complete the shipment within fifteen (15) days (including the 15th day) after the agreed take-delivery date, the owner may choose either of the followings: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On the 15th day after the agreed take-delivery date, the owner may notify the Factory that it will cease accepting any commodity that should have been shipped from the 16th day after the agreed take-delivery date, and the Factory shall refund the corresponding commodity payment and pay additional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Refunded commodity payment and additional compensation = compensation settlement price × quantity of commodity that should have been shipped × 130%</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compensation settlement price is the settlement price of the corresponding nearest month futures contract of the Exchange on the trading day preceding the 16th day after the agreed take-delivery date.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on the 15th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 Factory commits any default described in Article 37 or 38, it shall pay compensation directly to the owner.</w:t>
      </w:r>
      <w:r>
        <w:rPr>
          <w:rFonts w:hint="eastAsia" w:ascii="Times New Roman" w:hAnsi="Times New Roman" w:eastAsia="方正仿宋简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If the Factory fails to make the payment in full or in part, the Exchange shall pay any deficient amount to the owner: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guarantees provided by the Factory; or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Exchange’s funds and recourse to the Factory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commits any default described in Article 35 or 36, it shall pay compensation directly to the Factory. If the owner fails to make the payment in full or in part, the Factory may recourse to the owner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Any losses incurred to either a Factory or an owner due to any event described in Article 35, 36, 37 or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38 shall be handled by both parties as agreed if they have reached a separate agreement. The agreement shall be filed in writing with the Exchange for record.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Quality dispute resolution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who disputes the quality of any delivered commodity shall submit to the Exchange a written objection, accompanied by the quality inspection results issued by a Designated Inspection Agency, within ten (10) days following the physical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delivery; failing which, the owner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43</w:t>
      </w:r>
      <w:r>
        <w:rPr>
          <w:rFonts w:hint="default" w:ascii="Times New Roman" w:hAnsi="Times New Roman" w:eastAsia="宋体" w:cs="Times New Roman"/>
          <w:b/>
          <w:bCs/>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Upon the cancellation of a factory standard warrant, the Factory may apply to the Exchange for an adjustment of the amount of guarantees it is required to provide.</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wire rod futures contract is 7%.</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wire rod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20%</w:t>
            </w: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wire rod futures contract is within ±5% of its settlement price of the preceding trading day.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47</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 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wire rod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5"/>
        <w:tblW w:w="499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058"/>
        <w:gridCol w:w="1466"/>
        <w:gridCol w:w="1029"/>
        <w:gridCol w:w="1074"/>
        <w:gridCol w:w="1029"/>
        <w:gridCol w:w="850"/>
        <w:gridCol w:w="1030"/>
        <w:gridCol w:w="8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33"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p>
        </w:tc>
        <w:tc>
          <w:tcPr>
            <w:tcW w:w="2134"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From the date of listing to the last trading day of the second month prior to the delivery month</w:t>
            </w:r>
          </w:p>
        </w:tc>
        <w:tc>
          <w:tcPr>
            <w:tcW w:w="1123"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First month prior to the delivery month</w:t>
            </w:r>
          </w:p>
        </w:tc>
        <w:tc>
          <w:tcPr>
            <w:tcW w:w="110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33"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77"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Total open</w:t>
            </w:r>
          </w:p>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interest</w:t>
            </w:r>
          </w:p>
        </w:tc>
        <w:tc>
          <w:tcPr>
            <w:tcW w:w="1257"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bCs/>
                <w:color w:val="auto"/>
                <w:kern w:val="2"/>
                <w:sz w:val="20"/>
                <w:szCs w:val="20"/>
                <w:lang w:val="en-US" w:eastAsia="zh-CN" w:bidi="ar"/>
              </w:rPr>
              <w:t xml:space="preserve">Percentage-based Position Limit (%) and </w:t>
            </w:r>
            <w:r>
              <w:rPr>
                <w:rFonts w:hint="default" w:ascii="Times New Roman" w:hAnsi="Times New Roman" w:eastAsia="宋体" w:cs="Times New Roman"/>
                <w:color w:val="auto"/>
                <w:kern w:val="2"/>
                <w:sz w:val="20"/>
                <w:szCs w:val="20"/>
                <w:lang w:val="en-US" w:eastAsia="zh-CN" w:bidi="ar"/>
              </w:rPr>
              <w:t>fixed-amount Position Limit (in lots)</w:t>
            </w:r>
          </w:p>
        </w:tc>
        <w:tc>
          <w:tcPr>
            <w:tcW w:w="1123"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c>
          <w:tcPr>
            <w:tcW w:w="1108"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33"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77"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61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64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615"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0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61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49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33"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Wire rod</w:t>
            </w:r>
          </w:p>
        </w:tc>
        <w:tc>
          <w:tcPr>
            <w:tcW w:w="877"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 225,000</w:t>
            </w:r>
          </w:p>
        </w:tc>
        <w:tc>
          <w:tcPr>
            <w:tcW w:w="61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64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615"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1,800</w:t>
            </w:r>
          </w:p>
        </w:tc>
        <w:tc>
          <w:tcPr>
            <w:tcW w:w="507"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1,800</w:t>
            </w:r>
          </w:p>
        </w:tc>
        <w:tc>
          <w:tcPr>
            <w:tcW w:w="616"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360</w:t>
            </w:r>
          </w:p>
        </w:tc>
        <w:tc>
          <w:tcPr>
            <w:tcW w:w="491"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33"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877"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&lt; 225,000</w:t>
            </w:r>
          </w:p>
        </w:tc>
        <w:tc>
          <w:tcPr>
            <w:tcW w:w="615"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22,500</w:t>
            </w:r>
          </w:p>
        </w:tc>
        <w:tc>
          <w:tcPr>
            <w:tcW w:w="64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22,500</w:t>
            </w:r>
          </w:p>
        </w:tc>
        <w:tc>
          <w:tcPr>
            <w:tcW w:w="615"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07"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616"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91"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48</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For contracts in wire rod</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futures, by the close of the last trading day of the month prior to the delivery month, </w:t>
      </w:r>
      <w:r>
        <w:rPr>
          <w:rFonts w:hint="default" w:ascii="Times New Roman" w:hAnsi="Times New Roman" w:eastAsia="宋体" w:cs="Times New Roman"/>
          <w:bCs/>
          <w:color w:val="auto"/>
          <w:kern w:val="0"/>
          <w:sz w:val="22"/>
          <w:szCs w:val="22"/>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2"/>
          <w:szCs w:val="22"/>
          <w:lang w:val="en-US" w:eastAsia="zh-CN" w:bidi="ar"/>
        </w:rPr>
        <w:t xml:space="preserve">shall adjust </w:t>
      </w:r>
      <w:r>
        <w:rPr>
          <w:rFonts w:hint="default" w:ascii="Times New Roman" w:hAnsi="Times New Roman" w:eastAsia="宋体" w:cs="Times New Roman"/>
          <w:bCs/>
          <w:color w:val="auto"/>
          <w:kern w:val="0"/>
          <w:sz w:val="22"/>
          <w:szCs w:val="22"/>
          <w:lang w:val="en-US" w:eastAsia="zh-CN" w:bidi="ar"/>
        </w:rPr>
        <w:t>its general</w:t>
      </w:r>
      <w:r>
        <w:rPr>
          <w:rFonts w:hint="default" w:ascii="Times New Roman" w:hAnsi="Times New Roman" w:eastAsia="宋体" w:cs="Times New Roman"/>
          <w:bCs/>
          <w:color w:val="auto"/>
          <w:kern w:val="2"/>
          <w:sz w:val="22"/>
          <w:szCs w:val="22"/>
          <w:lang w:val="en-US" w:eastAsia="zh-CN" w:bidi="ar"/>
        </w:rPr>
        <w:t xml:space="preserve"> positions held under its trading code, to multiples of thirty (30) lots and a one-day delay is allowed under special market conditions; in the delivery month,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positions as well as newly opened and closed-out positions shall be held in multiples of thirty (30)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wire rod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wire rod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wire rod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wire rod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wire rod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wire rod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Wire Rod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Wire Rod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Wire Rod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D93B0A"/>
    <w:rsid w:val="BED93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2025-12-31T14:46:00Z</dcterms:created>
  <dc:creator>ji.shuoren</dc:creator>
  <cp:lastModifiedBy>ji.shuoren</cp:lastModifiedBy>
  <dcterms:modified xsi:type="dcterms:W3CDTF">2025-12-31T14:47:05Z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B513C81A166661BED1C65469C94F2CFE</vt:lpwstr>
  </property>
</Properties>
</file>