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rPr>
          <w:rFonts w:hint="default" w:ascii="Times New Roman" w:hAnsi="Times New Roman" w:eastAsia="华文中宋" w:cs="Times New Roman"/>
          <w:b/>
          <w:bCs/>
          <w:kern w:val="2"/>
          <w:sz w:val="22"/>
          <w:szCs w:val="22"/>
        </w:rPr>
      </w:pPr>
      <w:r>
        <w:rPr>
          <w:rFonts w:hint="default" w:ascii="Times New Roman" w:hAnsi="Times New Roman" w:eastAsia="华文中宋" w:cs="Times New Roman"/>
          <w:b/>
          <w:bCs/>
          <w:kern w:val="2"/>
          <w:sz w:val="22"/>
          <w:szCs w:val="22"/>
        </w:rPr>
        <w:t>SILVER FUTURES RULES OF THE SHANGHAI FUTURES EXCHANGE</w:t>
      </w:r>
    </w:p>
    <w:p>
      <w:pPr>
        <w:keepNext w:val="0"/>
        <w:keepLines w:val="0"/>
        <w:widowControl/>
        <w:suppressLineNumbers w:val="0"/>
        <w:adjustRightInd w:val="0"/>
        <w:snapToGrid w:val="0"/>
        <w:spacing w:before="360" w:beforeLines="150" w:beforeAutospacing="0" w:after="240" w:afterLines="100" w:afterAutospacing="0" w:line="273" w:lineRule="auto"/>
        <w:ind w:left="0" w:right="0"/>
        <w:jc w:val="center"/>
        <w:rPr>
          <w:rFonts w:hint="default" w:ascii="Times New Roman" w:hAnsi="Times New Roman" w:eastAsia="宋体" w:cs="Times New Roman"/>
          <w:b/>
          <w:bCs w:val="0"/>
          <w:kern w:val="2"/>
          <w:sz w:val="22"/>
          <w:szCs w:val="22"/>
        </w:rPr>
      </w:pPr>
      <w:bookmarkStart w:id="0" w:name="_GoBack"/>
      <w:bookmarkEnd w:id="0"/>
      <w:r>
        <w:rPr>
          <w:rFonts w:hint="default" w:ascii="Times New Roman" w:hAnsi="Times New Roman" w:eastAsia="宋体" w:cs="Times New Roman"/>
          <w:b/>
          <w:bCs w:val="0"/>
          <w:color w:val="auto"/>
          <w:kern w:val="2"/>
          <w:sz w:val="22"/>
          <w:szCs w:val="22"/>
          <w:lang w:val="en-US" w:eastAsia="zh-CN" w:bidi="ar"/>
        </w:rPr>
        <w:t>CHAPTER 1</w:t>
      </w:r>
      <w:r>
        <w:rPr>
          <w:rFonts w:hint="default" w:ascii="Times New Roman" w:hAnsi="Times New Roman" w:eastAsia="宋体" w:cs="Times New Roman"/>
          <w:b/>
          <w:bCs w:val="0"/>
          <w:color w:val="auto"/>
          <w:kern w:val="2"/>
          <w:sz w:val="22"/>
          <w:szCs w:val="22"/>
          <w:lang w:val="en-US" w:eastAsia="zh-CN" w:bidi="ar"/>
        </w:rPr>
        <w:tab/>
      </w:r>
      <w:r>
        <w:rPr>
          <w:rFonts w:hint="default" w:ascii="Times New Roman" w:hAnsi="Times New Roman" w:eastAsia="宋体" w:cs="Times New Roman"/>
          <w:b/>
          <w:bCs w:val="0"/>
          <w:color w:val="auto"/>
          <w:kern w:val="2"/>
          <w:sz w:val="22"/>
          <w:szCs w:val="22"/>
          <w:lang w:val="en-US" w:eastAsia="zh-CN" w:bidi="ar"/>
        </w:rPr>
        <w:t>GENERAL PROVISIONS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w:t>
      </w:r>
      <w:r>
        <w:rPr>
          <w:rFonts w:hint="eastAsia" w:ascii="Times New Roman" w:hAnsi="Times New Roman"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 xml:space="preserve">These </w:t>
      </w:r>
      <w:r>
        <w:rPr>
          <w:rFonts w:hint="default" w:ascii="Times New Roman" w:hAnsi="Times New Roman" w:eastAsia="宋体" w:cs="Times New Roman"/>
          <w:i/>
          <w:iCs w:val="0"/>
          <w:color w:val="auto"/>
          <w:kern w:val="2"/>
          <w:sz w:val="22"/>
          <w:szCs w:val="22"/>
          <w:lang w:val="en-US" w:eastAsia="zh-CN" w:bidi="ar"/>
        </w:rPr>
        <w:t>Silver Futures Rules</w:t>
      </w:r>
      <w:r>
        <w:rPr>
          <w:rFonts w:hint="default" w:ascii="Times New Roman" w:hAnsi="Times New Roman" w:eastAsia="宋体" w:cs="Times New Roman"/>
          <w:color w:val="auto"/>
          <w:kern w:val="2"/>
          <w:sz w:val="22"/>
          <w:szCs w:val="22"/>
          <w:lang w:val="en-US" w:eastAsia="zh-CN" w:bidi="ar"/>
        </w:rPr>
        <w:t xml:space="preserve"> are made in accordance with the </w:t>
      </w:r>
      <w:r>
        <w:rPr>
          <w:rFonts w:hint="default" w:ascii="Times New Roman" w:hAnsi="Times New Roman" w:eastAsia="宋体" w:cs="Times New Roman"/>
          <w:i/>
          <w:iCs/>
          <w:color w:val="auto"/>
          <w:kern w:val="2"/>
          <w:sz w:val="22"/>
          <w:szCs w:val="22"/>
          <w:lang w:val="en-US" w:eastAsia="zh-CN" w:bidi="ar"/>
        </w:rPr>
        <w:t>General Exchange Rules of the Shanghai Futures Exchange</w:t>
      </w:r>
      <w:r>
        <w:rPr>
          <w:rFonts w:hint="default" w:ascii="Times New Roman" w:hAnsi="Times New Roman" w:eastAsia="宋体" w:cs="Times New Roman"/>
          <w:color w:val="auto"/>
          <w:kern w:val="2"/>
          <w:sz w:val="22"/>
          <w:szCs w:val="22"/>
          <w:lang w:val="en-US" w:eastAsia="zh-CN" w:bidi="ar"/>
        </w:rPr>
        <w:t>, the</w:t>
      </w:r>
      <w:r>
        <w:rPr>
          <w:rFonts w:hint="eastAsia" w:ascii="Times New Roman" w:hAnsi="Times New Roman" w:eastAsia="宋体" w:cs="Times New Roman"/>
          <w:i/>
          <w:iCs/>
          <w:color w:val="auto"/>
          <w:kern w:val="2"/>
          <w:sz w:val="22"/>
          <w:szCs w:val="22"/>
          <w:lang w:val="en-US" w:eastAsia="zh-CN" w:bidi="ar"/>
        </w:rPr>
        <w:t xml:space="preserve"> </w:t>
      </w:r>
      <w:r>
        <w:rPr>
          <w:rFonts w:hint="default" w:ascii="Times New Roman" w:hAnsi="Times New Roman" w:eastAsia="宋体" w:cs="Times New Roman"/>
          <w:i/>
          <w:iCs/>
          <w:color w:val="auto"/>
          <w:kern w:val="2"/>
          <w:sz w:val="22"/>
          <w:szCs w:val="22"/>
          <w:lang w:val="en-US" w:eastAsia="zh-CN" w:bidi="ar"/>
        </w:rPr>
        <w:t>SHFE Silver Futures Contract Specifications</w:t>
      </w:r>
      <w:r>
        <w:rPr>
          <w:rFonts w:hint="default" w:ascii="Times New Roman" w:hAnsi="Times New Roman" w:eastAsia="宋体" w:cs="Times New Roman"/>
          <w:color w:val="auto"/>
          <w:kern w:val="2"/>
          <w:sz w:val="22"/>
          <w:szCs w:val="22"/>
          <w:lang w:val="en-US" w:eastAsia="zh-CN" w:bidi="ar"/>
        </w:rPr>
        <w:t>, and the relevant business rules</w:t>
      </w:r>
      <w:r>
        <w:rPr>
          <w:rFonts w:hint="eastAsia" w:ascii="Times New Roman" w:hAnsi="Times New Roman" w:eastAsia="宋体"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to regulate business related to silver futures</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at the Shanghai Futures Exchange (the “Exchange”).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color w:val="000000"/>
          <w:kern w:val="0"/>
          <w:sz w:val="22"/>
          <w:szCs w:val="22"/>
        </w:rPr>
      </w:pPr>
      <w:r>
        <w:rPr>
          <w:rFonts w:hint="default" w:ascii="Times New Roman" w:hAnsi="Times New Roman" w:eastAsia="宋体" w:cs="Times New Roman"/>
          <w:b/>
          <w:bCs/>
          <w:color w:val="000000"/>
          <w:kern w:val="2"/>
          <w:sz w:val="22"/>
          <w:szCs w:val="22"/>
          <w:lang w:val="en-US" w:eastAsia="zh-CN" w:bidi="ar"/>
        </w:rPr>
        <w:t>Article 2</w:t>
      </w:r>
      <w:r>
        <w:rPr>
          <w:rFonts w:hint="eastAsia" w:ascii="Times New Roman" w:hAnsi="Times New Roman" w:cs="Times New Roman"/>
          <w:b/>
          <w:bCs/>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 xml:space="preserve">These </w:t>
      </w:r>
      <w:r>
        <w:rPr>
          <w:rFonts w:hint="default" w:ascii="Times New Roman" w:hAnsi="Times New Roman" w:eastAsia="宋体" w:cs="Times New Roman"/>
          <w:i/>
          <w:iCs w:val="0"/>
          <w:color w:val="auto"/>
          <w:kern w:val="2"/>
          <w:sz w:val="22"/>
          <w:szCs w:val="22"/>
          <w:lang w:val="en-US" w:eastAsia="zh-CN" w:bidi="ar"/>
        </w:rPr>
        <w:t>Silver Futures Rules</w:t>
      </w:r>
      <w:r>
        <w:rPr>
          <w:rFonts w:hint="default" w:ascii="Times New Roman" w:hAnsi="Times New Roman" w:eastAsia="宋体" w:cs="Times New Roman"/>
          <w:color w:val="000000"/>
          <w:kern w:val="2"/>
          <w:sz w:val="22"/>
          <w:szCs w:val="22"/>
          <w:lang w:val="en-US" w:eastAsia="zh-CN" w:bidi="ar"/>
        </w:rPr>
        <w:t xml:space="preserve"> shall be observed by the Exchange, Members, Clients, Delivery Storage Facilities, Designated Inspection Agencies, Futures Margin Depository</w:t>
      </w:r>
      <w:r>
        <w:rPr>
          <w:rFonts w:hint="eastAsia" w:ascii="Times New Roman" w:hAnsi="Times New Roman" w:eastAsia="宋体" w:cs="Times New Roman"/>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Institutions, and other participants of the futures market.</w:t>
      </w:r>
    </w:p>
    <w:p>
      <w:pPr>
        <w:keepNext w:val="0"/>
        <w:keepLines w:val="0"/>
        <w:widowControl/>
        <w:suppressLineNumbers w:val="0"/>
        <w:adjustRightInd w:val="0"/>
        <w:snapToGrid w:val="0"/>
        <w:spacing w:before="360" w:beforeLines="150" w:beforeAutospacing="0" w:after="240" w:afterLines="100" w:afterAutospacing="0" w:line="273" w:lineRule="auto"/>
        <w:ind w:left="0" w:right="0"/>
        <w:jc w:val="center"/>
        <w:rPr>
          <w:rFonts w:hint="default" w:ascii="Times New Roman" w:hAnsi="Times New Roman" w:eastAsia="宋体" w:cs="Times New Roman"/>
          <w:b/>
          <w:bCs w:val="0"/>
          <w:kern w:val="2"/>
          <w:sz w:val="22"/>
          <w:szCs w:val="22"/>
        </w:rPr>
      </w:pPr>
      <w:r>
        <w:rPr>
          <w:rFonts w:hint="default" w:ascii="Times New Roman" w:hAnsi="Times New Roman" w:eastAsia="宋体" w:cs="Times New Roman"/>
          <w:b/>
          <w:bCs w:val="0"/>
          <w:color w:val="auto"/>
          <w:kern w:val="2"/>
          <w:sz w:val="22"/>
          <w:szCs w:val="22"/>
          <w:lang w:val="en-US" w:eastAsia="zh-CN" w:bidi="ar"/>
        </w:rPr>
        <w:t>CHAPTER 2</w:t>
      </w:r>
      <w:r>
        <w:rPr>
          <w:rFonts w:hint="default" w:ascii="Times New Roman" w:hAnsi="Times New Roman" w:eastAsia="宋体" w:cs="Times New Roman"/>
          <w:b/>
          <w:bCs w:val="0"/>
          <w:color w:val="auto"/>
          <w:kern w:val="2"/>
          <w:sz w:val="22"/>
          <w:szCs w:val="22"/>
          <w:lang w:val="en-US" w:eastAsia="zh-CN" w:bidi="ar"/>
        </w:rPr>
        <w:tab/>
      </w:r>
      <w:r>
        <w:rPr>
          <w:rFonts w:hint="default" w:ascii="Times New Roman" w:hAnsi="Times New Roman" w:eastAsia="宋体" w:cs="Times New Roman"/>
          <w:b/>
          <w:bCs w:val="0"/>
          <w:color w:val="auto"/>
          <w:kern w:val="2"/>
          <w:sz w:val="22"/>
          <w:szCs w:val="22"/>
          <w:lang w:val="en-US" w:eastAsia="zh-CN" w:bidi="ar"/>
        </w:rPr>
        <w:t>TRADING</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3</w:t>
      </w:r>
      <w:r>
        <w:rPr>
          <w:rFonts w:hint="eastAsia" w:ascii="Times New Roman" w:hAnsi="Times New Roman"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Contract size for silver futures is fifteen (15) kilograms per lot.</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000000"/>
          <w:kern w:val="2"/>
          <w:sz w:val="22"/>
          <w:szCs w:val="22"/>
          <w:lang w:val="en-US" w:eastAsia="zh-CN" w:bidi="ar"/>
        </w:rPr>
        <w:t>Article 4</w:t>
      </w:r>
      <w:r>
        <w:rPr>
          <w:rFonts w:hint="eastAsia" w:ascii="Times New Roman" w:hAnsi="Times New Roman" w:cs="Times New Roman"/>
          <w:b/>
          <w:bCs/>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 xml:space="preserve">Price quotation of a </w:t>
      </w:r>
      <w:r>
        <w:rPr>
          <w:rFonts w:hint="default" w:ascii="Times New Roman" w:hAnsi="Times New Roman" w:eastAsia="宋体" w:cs="Times New Roman"/>
          <w:color w:val="auto"/>
          <w:kern w:val="2"/>
          <w:sz w:val="22"/>
          <w:szCs w:val="22"/>
          <w:lang w:val="en-US" w:eastAsia="zh-CN" w:bidi="ar"/>
        </w:rPr>
        <w:t>silver futures contract is</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Yuan (RMB)/kilogram.</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5</w:t>
      </w:r>
      <w:r>
        <w:rPr>
          <w:rFonts w:hint="eastAsia" w:ascii="Times New Roman" w:hAnsi="Times New Roman"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Minimum price fluctuation</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of a silver futures contract is</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one (1) Yuan/kilogram.</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6</w:t>
      </w:r>
      <w:r>
        <w:rPr>
          <w:rFonts w:hint="eastAsia" w:ascii="Times New Roman" w:hAnsi="Times New Roman"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Listed contracts</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of silver futures cover the most recent twelve (12) months.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7</w:t>
      </w:r>
      <w:r>
        <w:rPr>
          <w:rFonts w:hint="eastAsia" w:ascii="Times New Roman" w:hAnsi="Times New Roman"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Trading hours of a silver futures contract</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are 9:00 a.m. to 11:30 a.m., 1:30 p.m. to 3:00 p.m., and other hours specified by the Exchange.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8</w:t>
      </w:r>
      <w:r>
        <w:rPr>
          <w:rFonts w:hint="eastAsia" w:ascii="Times New Roman" w:hAnsi="Times New Roman"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The last trading day of a silver futures contract is the 15th day of the contract month. The last trading day will be postponed accordingly if it is a legal holiday in China, and will be subject to separate adjustment and announcement by the Exchange if it falls in the Spring Festival month or any other month specially designated by the Exchange.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9</w:t>
      </w:r>
      <w:r>
        <w:rPr>
          <w:rFonts w:hint="eastAsia" w:ascii="Times New Roman" w:hAnsi="Times New Roman"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Contract symbol</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of silver futures is AG.</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10</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For the hedging and arbitrage position quotas of a silver</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futures contract, regular months extend from the day of listing to the last trading day of the second month before the delivery month, while nearby delivery months</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cover the month before the delivery month and the delivery month.</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 w:val="0"/>
          <w:bCs w:val="0"/>
          <w:color w:val="auto"/>
          <w:kern w:val="2"/>
          <w:sz w:val="22"/>
          <w:szCs w:val="22"/>
        </w:rPr>
      </w:pPr>
      <w:r>
        <w:rPr>
          <w:rFonts w:hint="default" w:ascii="Times New Roman" w:hAnsi="Times New Roman" w:eastAsia="宋体" w:cs="Times New Roman"/>
          <w:b/>
          <w:bCs/>
          <w:color w:val="auto"/>
          <w:kern w:val="2"/>
          <w:sz w:val="22"/>
          <w:szCs w:val="22"/>
          <w:lang w:val="en-US" w:eastAsia="zh-CN" w:bidi="ar"/>
        </w:rPr>
        <w:t>Article 11</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An application for</w:t>
      </w:r>
      <w:r>
        <w:rPr>
          <w:rFonts w:hint="default" w:ascii="Times New Roman" w:hAnsi="Times New Roman" w:eastAsia="宋体" w:cs="Times New Roman"/>
          <w:b w:val="0"/>
          <w:bCs w:val="0"/>
          <w:color w:val="auto"/>
          <w:kern w:val="2"/>
          <w:sz w:val="22"/>
          <w:szCs w:val="22"/>
          <w:lang w:val="en-US" w:eastAsia="zh-CN" w:bidi="ar"/>
        </w:rPr>
        <w:t xml:space="preserve"> a contract-specific regular month hedging position quota of a silver futures contract shall be submitted by the last trading day of the second month before the delivery month of the contract. Late applications will not be accepted by the Exchange. Applications for product-specific regular month hedging position quota are subject to the relevant provisions of the </w:t>
      </w:r>
      <w:r>
        <w:rPr>
          <w:rFonts w:hint="default" w:ascii="Times New Roman" w:hAnsi="Times New Roman" w:eastAsia="宋体" w:cs="Times New Roman"/>
          <w:b w:val="0"/>
          <w:bCs w:val="0"/>
          <w:i/>
          <w:iCs/>
          <w:color w:val="auto"/>
          <w:kern w:val="2"/>
          <w:sz w:val="22"/>
          <w:szCs w:val="22"/>
          <w:lang w:val="en-US" w:eastAsia="zh-CN" w:bidi="ar"/>
        </w:rPr>
        <w:t>Hedge Trading Rules of the Shanghai Futures Exchange</w:t>
      </w:r>
      <w:r>
        <w:rPr>
          <w:rFonts w:hint="default" w:ascii="Times New Roman" w:hAnsi="Times New Roman" w:eastAsia="宋体" w:cs="Times New Roman"/>
          <w:b w:val="0"/>
          <w:bCs w:val="0"/>
          <w:color w:val="auto"/>
          <w:kern w:val="2"/>
          <w:sz w:val="22"/>
          <w:szCs w:val="22"/>
          <w:lang w:val="en-US" w:eastAsia="zh-CN" w:bidi="ar"/>
        </w:rPr>
        <w:t>.</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val="0"/>
          <w:bCs w:val="0"/>
          <w:color w:val="auto"/>
          <w:kern w:val="2"/>
          <w:sz w:val="22"/>
          <w:szCs w:val="22"/>
          <w:lang w:val="en-US" w:eastAsia="zh-CN" w:bidi="ar"/>
        </w:rPr>
        <w:t xml:space="preserve">An application for a nearby delivery month hedging position quota of a silver futures contract shall be submitted between the first trading day of the second </w:t>
      </w:r>
      <w:r>
        <w:rPr>
          <w:rFonts w:hint="default" w:ascii="Times New Roman" w:hAnsi="Times New Roman" w:eastAsia="宋体" w:cs="Times New Roman"/>
          <w:color w:val="auto"/>
          <w:kern w:val="2"/>
          <w:sz w:val="22"/>
          <w:szCs w:val="22"/>
          <w:lang w:val="en-US" w:eastAsia="zh-CN" w:bidi="ar"/>
        </w:rPr>
        <w:t>month before the delivery month of the contract and the last trading day of the month before the delivery month. Late applications will not be accepted by the Exchange. An application for a nearby delivery month arbitrage position quota of a silver futures contract shall be submitted between the first trading day of the second month before the delivery month of the contract and the last trading day of the month before the delivery month. Late applications will not be accepted by the Exchange.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12</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Hedging position quota of a silver futures contract shall no longer be used in a revolving manner starting from the first trading day of the delivery month.</w:t>
      </w:r>
    </w:p>
    <w:p>
      <w:pPr>
        <w:keepNext w:val="0"/>
        <w:keepLines w:val="0"/>
        <w:widowControl/>
        <w:suppressLineNumbers w:val="0"/>
        <w:adjustRightInd w:val="0"/>
        <w:snapToGrid w:val="0"/>
        <w:spacing w:before="360" w:beforeLines="150" w:beforeAutospacing="0" w:after="240" w:afterLines="100" w:afterAutospacing="0" w:line="273" w:lineRule="auto"/>
        <w:ind w:left="0" w:right="0"/>
        <w:jc w:val="center"/>
        <w:rPr>
          <w:rFonts w:hint="default" w:ascii="Times New Roman" w:hAnsi="Times New Roman" w:eastAsia="宋体" w:cs="Times New Roman"/>
          <w:b/>
          <w:bCs w:val="0"/>
          <w:kern w:val="2"/>
          <w:sz w:val="22"/>
          <w:szCs w:val="22"/>
        </w:rPr>
      </w:pPr>
      <w:r>
        <w:rPr>
          <w:rFonts w:hint="default" w:ascii="Times New Roman" w:hAnsi="Times New Roman" w:eastAsia="宋体" w:cs="Times New Roman"/>
          <w:b/>
          <w:bCs w:val="0"/>
          <w:color w:val="auto"/>
          <w:kern w:val="2"/>
          <w:sz w:val="22"/>
          <w:szCs w:val="22"/>
          <w:lang w:val="en-US" w:eastAsia="zh-CN" w:bidi="ar"/>
        </w:rPr>
        <w:t>CHAPTER 3</w:t>
      </w:r>
      <w:r>
        <w:rPr>
          <w:rFonts w:hint="default" w:ascii="Times New Roman" w:hAnsi="Times New Roman" w:eastAsia="宋体" w:cs="Times New Roman"/>
          <w:b/>
          <w:bCs w:val="0"/>
          <w:color w:val="auto"/>
          <w:kern w:val="2"/>
          <w:sz w:val="22"/>
          <w:szCs w:val="22"/>
          <w:lang w:val="en-US" w:eastAsia="zh-CN" w:bidi="ar"/>
        </w:rPr>
        <w:tab/>
      </w:r>
      <w:r>
        <w:rPr>
          <w:rFonts w:hint="default" w:ascii="Times New Roman" w:hAnsi="Times New Roman" w:eastAsia="宋体" w:cs="Times New Roman"/>
          <w:b/>
          <w:bCs w:val="0"/>
          <w:color w:val="auto"/>
          <w:kern w:val="2"/>
          <w:sz w:val="22"/>
          <w:szCs w:val="22"/>
          <w:lang w:val="en-US" w:eastAsia="zh-CN" w:bidi="ar"/>
        </w:rPr>
        <w:t>DELIVERY</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13</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A silver futures contract may be physically delivered through an Exchange of Futures for Physicals (“EFP”)</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or a delivery warehouse.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Silver futures adopt duty-paid delivery.</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14</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Grade and quality specifications are provided in the</w:t>
      </w:r>
      <w:r>
        <w:rPr>
          <w:rFonts w:hint="default" w:ascii="Times New Roman" w:hAnsi="Times New Roman" w:eastAsia="宋体" w:cs="Times New Roman"/>
          <w:i/>
          <w:iCs/>
          <w:color w:val="auto"/>
          <w:kern w:val="2"/>
          <w:sz w:val="22"/>
          <w:szCs w:val="22"/>
          <w:lang w:val="en-US" w:eastAsia="zh-CN" w:bidi="ar"/>
        </w:rPr>
        <w:t xml:space="preserve"> SHFE Silver Futures Contract</w:t>
      </w:r>
      <w:r>
        <w:rPr>
          <w:rFonts w:hint="eastAsia" w:ascii="Times New Roman" w:hAnsi="Times New Roman" w:eastAsia="宋体" w:cs="Times New Roman"/>
          <w:i/>
          <w:iCs/>
          <w:color w:val="auto"/>
          <w:kern w:val="2"/>
          <w:sz w:val="22"/>
          <w:szCs w:val="22"/>
          <w:lang w:val="en-US" w:eastAsia="zh-CN" w:bidi="ar"/>
        </w:rPr>
        <w:t xml:space="preserve"> </w:t>
      </w:r>
      <w:r>
        <w:rPr>
          <w:rFonts w:hint="default" w:ascii="Times New Roman" w:hAnsi="Times New Roman" w:eastAsia="宋体" w:cs="Times New Roman"/>
          <w:i/>
          <w:iCs/>
          <w:color w:val="auto"/>
          <w:kern w:val="2"/>
          <w:sz w:val="22"/>
          <w:szCs w:val="22"/>
          <w:lang w:val="en-US" w:eastAsia="zh-CN" w:bidi="ar"/>
        </w:rPr>
        <w:t>Specifications</w:t>
      </w:r>
      <w:r>
        <w:rPr>
          <w:rFonts w:hint="default" w:ascii="Times New Roman" w:hAnsi="Times New Roman" w:eastAsia="宋体" w:cs="Times New Roman"/>
          <w:color w:val="auto"/>
          <w:kern w:val="2"/>
          <w:sz w:val="22"/>
          <w:szCs w:val="22"/>
          <w:lang w:val="en-US" w:eastAsia="zh-CN" w:bidi="ar"/>
        </w:rPr>
        <w:t xml:space="preserve">.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15</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The deliverable commodity shall be of a registered trademark from a manufacturer registered with the Exchange.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16</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 xml:space="preserve">Specifications for deliverable commodity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 xml:space="preserve">Each deliverable silver ingot shall weigh fifteen (15) kilograms plus or minus one (±1) kilogram or thirty (30) kilograms plus or minus two (±2) kilograms.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Silver ingots underlying each standard warrant shall consist of commodity of the same manufacturer, grade (designation), registered trademark, and shape.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17</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Packaging for deliverable commodity</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There is no specific packaging requirement for load-in or load-out silver ingots.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18</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Required documentation for deliverable commodity</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(i)</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Domestic commodity: the certificate of quality issued by the registered manufacturer.</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(ii)</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Imported commodity: to be separately announced by the Exchange.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19</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Tolerance and pound difference: Difference between standard warrant weight and actual delivery weight shall not exceed plus or minus two (±2) kilograms. Pound difference shall not exceed plus or minus one (±1) kilogram.</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20</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Quantity (weight) inspection of load-in silver ingots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The delivery warehouse will count load-in silver ingots and double-check the weight for each ingot. The weight of each ingot shall be that shown on the certificate of quality issued by the manufacturer if the pound difference is within the prescribed range.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21</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Delivery unit of a silver futures contract is thirty (30) kilograms.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
          <w:bCs/>
          <w:kern w:val="2"/>
          <w:sz w:val="22"/>
          <w:szCs w:val="22"/>
        </w:rPr>
      </w:pPr>
      <w:r>
        <w:rPr>
          <w:rFonts w:hint="default" w:ascii="Times New Roman" w:hAnsi="Times New Roman" w:eastAsia="宋体" w:cs="Times New Roman"/>
          <w:b/>
          <w:bCs/>
          <w:color w:val="auto"/>
          <w:kern w:val="2"/>
          <w:sz w:val="22"/>
          <w:szCs w:val="22"/>
          <w:lang w:val="en-US" w:eastAsia="zh-CN" w:bidi="ar"/>
        </w:rPr>
        <w:t>Article 22</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Delivery period of a silver futures contract is the two (2) consecutive business days immediately following the last trading day of the contract.</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23</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The benchmark price for delivery settlement of a silver futures contract is its settlement price on the last trading day.</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24</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Delivery venue: the delivery warehouses of the Exchange, to be separately announced by the Exchange.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25</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After the physical delivery is completed, if the buyer has any dispute over the quality or quantity of the commodity</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(any silver in dispute shall remain in the delivery warehouse), the buyer shall submit a written request to the Exchange for dispute resolution before the 15th day (including that day) of the month following the delivery month (in case that day falls on a public holiday, the date shall be extended to the first business day after the holiday), together with the quality assay report issued by a Designated Inspection Agency. If no submission is received within the prescribed time, the buyer shall be deemed to have no disputes over</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the commodity, and the Exchange will no longer accept</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its relevant request for dispute resolution.</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26</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If standard warrants are used for the EFPs of a silver futures contract and the EFPs are settled via the Exchange, and if a dispute over the quality of the commodities arises, the buyer shall submit a request for dispute resolution within twenty-five (25) days after the payment and the exchange of standard warrants, together with the quality assay report issued by a Designated Inspection Agency.</w:t>
      </w:r>
    </w:p>
    <w:p>
      <w:pPr>
        <w:keepNext w:val="0"/>
        <w:keepLines w:val="0"/>
        <w:widowControl/>
        <w:suppressLineNumbers w:val="0"/>
        <w:adjustRightInd w:val="0"/>
        <w:snapToGrid w:val="0"/>
        <w:spacing w:before="360" w:beforeLines="150" w:beforeAutospacing="0" w:after="240" w:afterLines="100" w:afterAutospacing="0" w:line="273" w:lineRule="auto"/>
        <w:ind w:left="0" w:right="0"/>
        <w:jc w:val="center"/>
        <w:rPr>
          <w:rFonts w:hint="default" w:ascii="Times New Roman" w:hAnsi="Times New Roman" w:eastAsia="宋体" w:cs="Times New Roman"/>
          <w:b/>
          <w:bCs w:val="0"/>
          <w:kern w:val="2"/>
          <w:sz w:val="22"/>
          <w:szCs w:val="22"/>
        </w:rPr>
      </w:pPr>
      <w:r>
        <w:rPr>
          <w:rFonts w:hint="default" w:ascii="Times New Roman" w:hAnsi="Times New Roman" w:eastAsia="宋体" w:cs="Times New Roman"/>
          <w:b/>
          <w:bCs w:val="0"/>
          <w:color w:val="auto"/>
          <w:kern w:val="2"/>
          <w:sz w:val="22"/>
          <w:szCs w:val="22"/>
          <w:lang w:val="en-US" w:eastAsia="zh-CN" w:bidi="ar"/>
        </w:rPr>
        <w:t>CHAPTER 4</w:t>
      </w:r>
      <w:r>
        <w:rPr>
          <w:rFonts w:hint="default" w:ascii="Times New Roman" w:hAnsi="Times New Roman" w:eastAsia="宋体" w:cs="Times New Roman"/>
          <w:b/>
          <w:bCs w:val="0"/>
          <w:color w:val="auto"/>
          <w:kern w:val="2"/>
          <w:sz w:val="22"/>
          <w:szCs w:val="22"/>
          <w:lang w:val="en-US" w:eastAsia="zh-CN" w:bidi="ar"/>
        </w:rPr>
        <w:tab/>
      </w:r>
      <w:r>
        <w:rPr>
          <w:rFonts w:hint="default" w:ascii="Times New Roman" w:hAnsi="Times New Roman" w:eastAsia="宋体" w:cs="Times New Roman"/>
          <w:b/>
          <w:bCs w:val="0"/>
          <w:color w:val="auto"/>
          <w:kern w:val="2"/>
          <w:sz w:val="22"/>
          <w:szCs w:val="22"/>
          <w:lang w:val="en-US" w:eastAsia="zh-CN" w:bidi="ar"/>
        </w:rPr>
        <w:t>RISK MANAGEMENT</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27</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The minimum trading margin</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for a silver futures contract is 4%.</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28</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The stage-based trading margin rates</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for silver futures are as follows:</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61" w:type="dxa"/>
          <w:left w:w="108" w:type="dxa"/>
          <w:bottom w:w="0" w:type="dxa"/>
          <w:right w:w="24" w:type="dxa"/>
        </w:tblCellMar>
      </w:tblPr>
      <w:tblGrid>
        <w:gridCol w:w="5817"/>
        <w:gridCol w:w="26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1" w:type="dxa"/>
            <w:left w:w="108" w:type="dxa"/>
            <w:bottom w:w="0" w:type="dxa"/>
            <w:right w:w="24" w:type="dxa"/>
          </w:tblCellMar>
        </w:tblPrEx>
        <w:trPr>
          <w:trHeight w:val="20" w:hRule="atLeast"/>
        </w:trPr>
        <w:tc>
          <w:tcPr>
            <w:tcW w:w="34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
                <w:bCs w:val="0"/>
                <w:kern w:val="2"/>
                <w:sz w:val="22"/>
                <w:szCs w:val="22"/>
              </w:rPr>
            </w:pPr>
            <w:r>
              <w:rPr>
                <w:rFonts w:hint="default" w:ascii="Times New Roman" w:hAnsi="Times New Roman" w:eastAsia="宋体" w:cs="Times New Roman"/>
                <w:b/>
                <w:bCs w:val="0"/>
                <w:color w:val="auto"/>
                <w:kern w:val="2"/>
                <w:sz w:val="22"/>
                <w:szCs w:val="22"/>
                <w:lang w:val="en-US" w:eastAsia="zh-CN" w:bidi="ar"/>
              </w:rPr>
              <w:t>Stage of Trading</w:t>
            </w:r>
          </w:p>
        </w:tc>
        <w:tc>
          <w:tcPr>
            <w:tcW w:w="1553"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
                <w:bCs w:val="0"/>
                <w:kern w:val="2"/>
                <w:sz w:val="22"/>
                <w:szCs w:val="22"/>
              </w:rPr>
            </w:pPr>
            <w:r>
              <w:rPr>
                <w:rFonts w:hint="default" w:ascii="Times New Roman" w:hAnsi="Times New Roman" w:eastAsia="宋体" w:cs="Times New Roman"/>
                <w:b/>
                <w:bCs w:val="0"/>
                <w:color w:val="auto"/>
                <w:kern w:val="2"/>
                <w:sz w:val="22"/>
                <w:szCs w:val="22"/>
                <w:lang w:val="en-US" w:eastAsia="zh-CN" w:bidi="ar"/>
              </w:rPr>
              <w:t>Trading Margin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1" w:type="dxa"/>
            <w:left w:w="108" w:type="dxa"/>
            <w:bottom w:w="0" w:type="dxa"/>
            <w:right w:w="24" w:type="dxa"/>
          </w:tblCellMar>
        </w:tblPrEx>
        <w:trPr>
          <w:trHeight w:val="20" w:hRule="atLeast"/>
        </w:trPr>
        <w:tc>
          <w:tcPr>
            <w:tcW w:w="34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As of listing</w:t>
            </w:r>
          </w:p>
        </w:tc>
        <w:tc>
          <w:tcPr>
            <w:tcW w:w="1553"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1" w:type="dxa"/>
            <w:left w:w="108" w:type="dxa"/>
            <w:bottom w:w="0" w:type="dxa"/>
            <w:right w:w="24" w:type="dxa"/>
          </w:tblCellMar>
        </w:tblPrEx>
        <w:trPr>
          <w:trHeight w:val="20" w:hRule="atLeast"/>
        </w:trPr>
        <w:tc>
          <w:tcPr>
            <w:tcW w:w="34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As of the first trading day of the month prior to the delivery month</w:t>
            </w:r>
          </w:p>
        </w:tc>
        <w:tc>
          <w:tcPr>
            <w:tcW w:w="1553"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1" w:type="dxa"/>
            <w:left w:w="108" w:type="dxa"/>
            <w:bottom w:w="0" w:type="dxa"/>
            <w:right w:w="24" w:type="dxa"/>
          </w:tblCellMar>
        </w:tblPrEx>
        <w:trPr>
          <w:trHeight w:val="20" w:hRule="atLeast"/>
        </w:trPr>
        <w:tc>
          <w:tcPr>
            <w:tcW w:w="34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As of the first trading day of the delivery month</w:t>
            </w:r>
          </w:p>
        </w:tc>
        <w:tc>
          <w:tcPr>
            <w:tcW w:w="1553"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1" w:type="dxa"/>
            <w:left w:w="108" w:type="dxa"/>
            <w:bottom w:w="0" w:type="dxa"/>
            <w:right w:w="24" w:type="dxa"/>
          </w:tblCellMar>
        </w:tblPrEx>
        <w:trPr>
          <w:trHeight w:val="20" w:hRule="atLeast"/>
        </w:trPr>
        <w:tc>
          <w:tcPr>
            <w:tcW w:w="34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As of the second trading day prior to the last trading day</w:t>
            </w:r>
          </w:p>
        </w:tc>
        <w:tc>
          <w:tcPr>
            <w:tcW w:w="1553"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20%</w:t>
            </w:r>
          </w:p>
        </w:tc>
      </w:tr>
    </w:tbl>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
          <w:bCs/>
          <w:kern w:val="2"/>
          <w:sz w:val="22"/>
          <w:szCs w:val="22"/>
        </w:rPr>
      </w:pPr>
      <w:r>
        <w:rPr>
          <w:rFonts w:hint="default" w:ascii="Times New Roman" w:hAnsi="Times New Roman" w:eastAsia="宋体" w:cs="Times New Roman"/>
          <w:b/>
          <w:bCs/>
          <w:color w:val="auto"/>
          <w:kern w:val="2"/>
          <w:sz w:val="22"/>
          <w:szCs w:val="22"/>
          <w:lang w:val="en-US" w:eastAsia="zh-CN" w:bidi="ar"/>
        </w:rPr>
        <w:t xml:space="preserve">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29</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The range of price limit</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for a silver futures contract is within ±3% of its settlement price of the preceding trading day.</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
          <w:bCs w:val="0"/>
          <w:color w:val="auto"/>
          <w:kern w:val="2"/>
          <w:sz w:val="22"/>
          <w:szCs w:val="22"/>
          <w:lang w:val="en-US" w:eastAsia="zh-CN" w:bidi="ar"/>
        </w:rPr>
        <w:t>Article 30</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 xml:space="preserve">Percentage-based Position Limit and </w:t>
      </w:r>
      <w:r>
        <w:rPr>
          <w:rFonts w:hint="default" w:ascii="Times New Roman" w:hAnsi="Times New Roman" w:eastAsia="宋体" w:cs="Times New Roman"/>
          <w:color w:val="auto"/>
          <w:kern w:val="2"/>
          <w:sz w:val="22"/>
          <w:szCs w:val="22"/>
          <w:lang w:val="en-US" w:eastAsia="zh-CN" w:bidi="ar"/>
        </w:rPr>
        <w:t>fixed-amount Position Limit</w:t>
      </w:r>
      <w:r>
        <w:rPr>
          <w:rFonts w:hint="default" w:ascii="Times New Roman" w:hAnsi="Times New Roman" w:eastAsia="宋体" w:cs="Times New Roman"/>
          <w:bCs/>
          <w:color w:val="auto"/>
          <w:kern w:val="2"/>
          <w:sz w:val="22"/>
          <w:szCs w:val="22"/>
          <w:lang w:val="en-US" w:eastAsia="zh-CN" w:bidi="ar"/>
        </w:rPr>
        <w:t xml:space="preserve"> for each</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silver futures contract at different stages of trading are as follows</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(in lots):</w:t>
      </w:r>
    </w:p>
    <w:tbl>
      <w:tblPr>
        <w:tblStyle w:val="5"/>
        <w:tblW w:w="499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900"/>
        <w:gridCol w:w="1536"/>
        <w:gridCol w:w="1501"/>
        <w:gridCol w:w="1126"/>
        <w:gridCol w:w="1072"/>
        <w:gridCol w:w="1455"/>
        <w:gridCol w:w="76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37" w:hRule="atLeast"/>
          <w:jc w:val="center"/>
        </w:trPr>
        <w:tc>
          <w:tcPr>
            <w:tcW w:w="538" w:type="pct"/>
            <w:vMerge w:val="restart"/>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p>
        </w:tc>
        <w:tc>
          <w:tcPr>
            <w:tcW w:w="1815" w:type="pct"/>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From the date of listing to the last trading day of second month prior to the delivery month</w:t>
            </w:r>
          </w:p>
        </w:tc>
        <w:tc>
          <w:tcPr>
            <w:tcW w:w="1314" w:type="pct"/>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The first month prior to the delivery month</w:t>
            </w:r>
          </w:p>
        </w:tc>
        <w:tc>
          <w:tcPr>
            <w:tcW w:w="1330" w:type="pct"/>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Delivery month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56" w:hRule="atLeast"/>
          <w:jc w:val="center"/>
        </w:trPr>
        <w:tc>
          <w:tcPr>
            <w:tcW w:w="538" w:type="pct"/>
            <w:vMerge w:val="continue"/>
            <w:tcBorders>
              <w:top w:val="single" w:color="auto" w:sz="6" w:space="0"/>
              <w:left w:val="single" w:color="auto" w:sz="6" w:space="0"/>
              <w:bottom w:val="single" w:color="auto" w:sz="6" w:space="0"/>
              <w:right w:val="single" w:color="auto" w:sz="6" w:space="0"/>
            </w:tcBorders>
            <w:noWrap w:val="0"/>
            <w:vAlign w:val="center"/>
          </w:tcPr>
          <w:p>
            <w:pPr>
              <w:rPr>
                <w:rFonts w:hint="default" w:ascii="Times New Roman" w:hAnsi="Times New Roman" w:cs="Times New Roman"/>
                <w:sz w:val="20"/>
                <w:szCs w:val="20"/>
              </w:rPr>
            </w:pPr>
          </w:p>
        </w:tc>
        <w:tc>
          <w:tcPr>
            <w:tcW w:w="1815" w:type="pct"/>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Fixed-amount position limit (in lots)</w:t>
            </w:r>
          </w:p>
        </w:tc>
        <w:tc>
          <w:tcPr>
            <w:tcW w:w="1314" w:type="pct"/>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Fixed-amount position limit (in lots)</w:t>
            </w:r>
          </w:p>
        </w:tc>
        <w:tc>
          <w:tcPr>
            <w:tcW w:w="1330" w:type="pct"/>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Fixed-amount position limit (in lots)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63" w:hRule="atLeast"/>
          <w:jc w:val="center"/>
        </w:trPr>
        <w:tc>
          <w:tcPr>
            <w:tcW w:w="538" w:type="pct"/>
            <w:vMerge w:val="continue"/>
            <w:tcBorders>
              <w:top w:val="single" w:color="auto" w:sz="6" w:space="0"/>
              <w:left w:val="single" w:color="auto" w:sz="6" w:space="0"/>
              <w:bottom w:val="single" w:color="auto" w:sz="6" w:space="0"/>
              <w:right w:val="single" w:color="auto" w:sz="6" w:space="0"/>
            </w:tcBorders>
            <w:noWrap w:val="0"/>
            <w:vAlign w:val="center"/>
          </w:tcPr>
          <w:p>
            <w:pPr>
              <w:rPr>
                <w:rFonts w:hint="default" w:ascii="Times New Roman" w:hAnsi="Times New Roman" w:cs="Times New Roman"/>
                <w:sz w:val="20"/>
                <w:szCs w:val="20"/>
              </w:rPr>
            </w:pPr>
          </w:p>
        </w:tc>
        <w:tc>
          <w:tcPr>
            <w:tcW w:w="918" w:type="pct"/>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Non-FF Member</w:t>
            </w:r>
          </w:p>
        </w:tc>
        <w:tc>
          <w:tcPr>
            <w:tcW w:w="897" w:type="pct"/>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Client</w:t>
            </w:r>
          </w:p>
        </w:tc>
        <w:tc>
          <w:tcPr>
            <w:tcW w:w="673" w:type="pct"/>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Non-FF Member</w:t>
            </w:r>
          </w:p>
        </w:tc>
        <w:tc>
          <w:tcPr>
            <w:tcW w:w="641" w:type="pct"/>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Client</w:t>
            </w:r>
          </w:p>
        </w:tc>
        <w:tc>
          <w:tcPr>
            <w:tcW w:w="870" w:type="pct"/>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Non-FF Member</w:t>
            </w:r>
          </w:p>
        </w:tc>
        <w:tc>
          <w:tcPr>
            <w:tcW w:w="459" w:type="pct"/>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Client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271" w:hRule="atLeast"/>
          <w:jc w:val="center"/>
        </w:trPr>
        <w:tc>
          <w:tcPr>
            <w:tcW w:w="538" w:type="pct"/>
            <w:tcBorders>
              <w:top w:val="single" w:color="auto" w:sz="6" w:space="0"/>
              <w:left w:val="single" w:color="auto" w:sz="6" w:space="0"/>
              <w:bottom w:val="single" w:color="auto" w:sz="6" w:space="0"/>
              <w:right w:val="single" w:color="auto" w:sz="6" w:space="0"/>
            </w:tcBorders>
            <w:shd w:val="clear" w:color="auto" w:fill="FFFFFF"/>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Silver</w:t>
            </w:r>
          </w:p>
        </w:tc>
        <w:tc>
          <w:tcPr>
            <w:tcW w:w="918" w:type="pct"/>
            <w:tcBorders>
              <w:top w:val="single" w:color="auto" w:sz="6" w:space="0"/>
              <w:left w:val="single" w:color="auto" w:sz="6" w:space="0"/>
              <w:bottom w:val="single" w:color="auto" w:sz="6" w:space="0"/>
              <w:right w:val="single" w:color="auto" w:sz="6" w:space="0"/>
            </w:tcBorders>
            <w:shd w:val="clear" w:color="auto" w:fill="FFFFFF"/>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18,000</w:t>
            </w:r>
          </w:p>
        </w:tc>
        <w:tc>
          <w:tcPr>
            <w:tcW w:w="897" w:type="pct"/>
            <w:tcBorders>
              <w:top w:val="single" w:color="auto" w:sz="6" w:space="0"/>
              <w:left w:val="single" w:color="auto" w:sz="6" w:space="0"/>
              <w:bottom w:val="single" w:color="auto" w:sz="6" w:space="0"/>
              <w:right w:val="single" w:color="auto" w:sz="6" w:space="0"/>
            </w:tcBorders>
            <w:shd w:val="clear" w:color="auto" w:fill="FFFFFF"/>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9,000</w:t>
            </w:r>
          </w:p>
        </w:tc>
        <w:tc>
          <w:tcPr>
            <w:tcW w:w="673" w:type="pct"/>
            <w:tcBorders>
              <w:top w:val="single" w:color="auto" w:sz="6" w:space="0"/>
              <w:left w:val="single" w:color="auto" w:sz="6" w:space="0"/>
              <w:bottom w:val="single" w:color="auto" w:sz="6" w:space="0"/>
              <w:right w:val="single" w:color="auto" w:sz="6" w:space="0"/>
            </w:tcBorders>
            <w:shd w:val="clear" w:color="auto" w:fill="FFFFFF"/>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5,400</w:t>
            </w:r>
          </w:p>
        </w:tc>
        <w:tc>
          <w:tcPr>
            <w:tcW w:w="641" w:type="pct"/>
            <w:tcBorders>
              <w:top w:val="single" w:color="auto" w:sz="6" w:space="0"/>
              <w:left w:val="single" w:color="auto" w:sz="6" w:space="0"/>
              <w:bottom w:val="single" w:color="auto" w:sz="6" w:space="0"/>
              <w:right w:val="single" w:color="auto" w:sz="6" w:space="0"/>
            </w:tcBorders>
            <w:shd w:val="clear" w:color="auto" w:fill="FFFFFF"/>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2,700</w:t>
            </w:r>
          </w:p>
        </w:tc>
        <w:tc>
          <w:tcPr>
            <w:tcW w:w="870" w:type="pct"/>
            <w:tcBorders>
              <w:top w:val="single" w:color="auto" w:sz="6" w:space="0"/>
              <w:left w:val="single" w:color="auto" w:sz="6" w:space="0"/>
              <w:bottom w:val="single" w:color="auto" w:sz="6" w:space="0"/>
              <w:right w:val="single" w:color="auto" w:sz="6" w:space="0"/>
            </w:tcBorders>
            <w:shd w:val="clear" w:color="auto" w:fill="FFFFFF"/>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1,800</w:t>
            </w:r>
          </w:p>
        </w:tc>
        <w:tc>
          <w:tcPr>
            <w:tcW w:w="459" w:type="pct"/>
            <w:tcBorders>
              <w:top w:val="single" w:color="auto" w:sz="6" w:space="0"/>
              <w:left w:val="single" w:color="auto" w:sz="6" w:space="0"/>
              <w:bottom w:val="single" w:color="auto" w:sz="6" w:space="0"/>
              <w:right w:val="single" w:color="auto" w:sz="6" w:space="0"/>
            </w:tcBorders>
            <w:shd w:val="clear" w:color="auto" w:fill="FFFFFF"/>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900</w:t>
            </w:r>
          </w:p>
        </w:tc>
      </w:tr>
    </w:tbl>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Note: total open interest and the fixed-amount position limit are based on long or short</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positions.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
          <w:bCs w:val="0"/>
          <w:color w:val="auto"/>
          <w:kern w:val="2"/>
          <w:sz w:val="22"/>
          <w:szCs w:val="22"/>
          <w:lang w:val="en-US" w:eastAsia="zh-CN" w:bidi="ar"/>
        </w:rPr>
        <w:t>Article 31</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 xml:space="preserve">For contracts in silver futures, by the close of the last trading day of the month prior to the delivery month, </w:t>
      </w:r>
      <w:r>
        <w:rPr>
          <w:rFonts w:hint="default" w:ascii="Times New Roman" w:hAnsi="Times New Roman" w:eastAsia="宋体" w:cs="Times New Roman"/>
          <w:bCs/>
          <w:color w:val="auto"/>
          <w:kern w:val="0"/>
          <w:sz w:val="22"/>
          <w:szCs w:val="22"/>
          <w:lang w:val="en-US" w:eastAsia="zh-CN" w:bidi="ar"/>
        </w:rPr>
        <w:t xml:space="preserve">each Trader (referring here and hereinafter to a Client, a Non-Futures Firm Member) </w:t>
      </w:r>
      <w:r>
        <w:rPr>
          <w:rFonts w:hint="default" w:ascii="Times New Roman" w:hAnsi="Times New Roman" w:eastAsia="宋体" w:cs="Times New Roman"/>
          <w:bCs/>
          <w:color w:val="auto"/>
          <w:kern w:val="2"/>
          <w:sz w:val="22"/>
          <w:szCs w:val="22"/>
          <w:lang w:val="en-US" w:eastAsia="zh-CN" w:bidi="ar"/>
        </w:rPr>
        <w:t xml:space="preserve">shall adjust </w:t>
      </w:r>
      <w:r>
        <w:rPr>
          <w:rFonts w:hint="default" w:ascii="Times New Roman" w:hAnsi="Times New Roman" w:eastAsia="宋体" w:cs="Times New Roman"/>
          <w:bCs/>
          <w:color w:val="auto"/>
          <w:kern w:val="0"/>
          <w:sz w:val="22"/>
          <w:szCs w:val="22"/>
          <w:lang w:val="en-US" w:eastAsia="zh-CN" w:bidi="ar"/>
        </w:rPr>
        <w:t>its general</w:t>
      </w:r>
      <w:r>
        <w:rPr>
          <w:rFonts w:hint="default" w:ascii="Times New Roman" w:hAnsi="Times New Roman" w:eastAsia="宋体" w:cs="Times New Roman"/>
          <w:bCs/>
          <w:color w:val="auto"/>
          <w:kern w:val="2"/>
          <w:sz w:val="22"/>
          <w:szCs w:val="22"/>
          <w:lang w:val="en-US" w:eastAsia="zh-CN" w:bidi="ar"/>
        </w:rPr>
        <w:t xml:space="preserve"> positions held under its trading code, to multiples of two (2) lots and a one-day delay is allowed under special market conditions; in the delivery month, the </w:t>
      </w:r>
      <w:r>
        <w:rPr>
          <w:rFonts w:hint="default" w:ascii="Times New Roman" w:hAnsi="Times New Roman" w:eastAsia="宋体" w:cs="Times New Roman"/>
          <w:bCs/>
          <w:color w:val="auto"/>
          <w:kern w:val="0"/>
          <w:sz w:val="22"/>
          <w:szCs w:val="22"/>
          <w:lang w:val="en-US" w:eastAsia="zh-CN" w:bidi="ar"/>
        </w:rPr>
        <w:t>general</w:t>
      </w:r>
      <w:r>
        <w:rPr>
          <w:rFonts w:hint="default" w:ascii="Times New Roman" w:hAnsi="Times New Roman" w:eastAsia="宋体" w:cs="Times New Roman"/>
          <w:bCs/>
          <w:color w:val="auto"/>
          <w:kern w:val="2"/>
          <w:sz w:val="22"/>
          <w:szCs w:val="22"/>
          <w:lang w:val="en-US" w:eastAsia="zh-CN" w:bidi="ar"/>
        </w:rPr>
        <w:t xml:space="preserve"> positions as well as newly opened and closed-out positions shall be held in multiples of two (2) lots.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
          <w:bCs w:val="0"/>
          <w:color w:val="auto"/>
          <w:kern w:val="2"/>
          <w:sz w:val="22"/>
          <w:szCs w:val="22"/>
          <w:lang w:val="en-US" w:eastAsia="zh-CN" w:bidi="ar"/>
        </w:rPr>
        <w:t>Article 32</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If the Exchange makes a forced position reduction</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to a silver futures contract,</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the amount of the unfilled orders subject to the order fill, positions eligible to fill the unfilled orders</w:t>
      </w:r>
      <w:r>
        <w:rPr>
          <w:rFonts w:hint="default" w:ascii="Times New Roman" w:hAnsi="Times New Roman" w:eastAsia="宋体" w:cs="Times New Roman"/>
          <w:bCs/>
          <w:color w:val="auto"/>
          <w:kern w:val="0"/>
          <w:sz w:val="22"/>
          <w:szCs w:val="22"/>
          <w:lang w:val="en-US" w:eastAsia="zh-CN" w:bidi="ar"/>
        </w:rPr>
        <w:t xml:space="preserve"> of a Trader</w:t>
      </w:r>
      <w:r>
        <w:rPr>
          <w:rFonts w:hint="default" w:ascii="Times New Roman" w:hAnsi="Times New Roman" w:eastAsia="宋体" w:cs="Times New Roman"/>
          <w:bCs/>
          <w:color w:val="auto"/>
          <w:kern w:val="2"/>
          <w:sz w:val="22"/>
          <w:szCs w:val="22"/>
          <w:lang w:val="en-US" w:eastAsia="zh-CN" w:bidi="ar"/>
        </w:rPr>
        <w:t>, and the principles and methods for the order fill of unfilled orders</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shall be determined as follows: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(i)</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 xml:space="preserve">Amount of the unfilled orders subject to the order fill. The term “amount of unfilled orders subject to the order fill” means the total amount of all the unfilled orders submitted after the close of the base date at the limit price into the central order book by each </w:t>
      </w:r>
      <w:r>
        <w:rPr>
          <w:rFonts w:hint="default" w:ascii="Times New Roman" w:hAnsi="Times New Roman" w:eastAsia="宋体" w:cs="Times New Roman"/>
          <w:bCs/>
          <w:color w:val="auto"/>
          <w:kern w:val="0"/>
          <w:sz w:val="22"/>
          <w:szCs w:val="22"/>
          <w:lang w:val="en-US" w:eastAsia="zh-CN" w:bidi="ar"/>
        </w:rPr>
        <w:t xml:space="preserve">Trader </w:t>
      </w:r>
      <w:r>
        <w:rPr>
          <w:rFonts w:hint="default" w:ascii="Times New Roman" w:hAnsi="Times New Roman" w:eastAsia="宋体" w:cs="Times New Roman"/>
          <w:bCs/>
          <w:color w:val="auto"/>
          <w:kern w:val="2"/>
          <w:sz w:val="22"/>
          <w:szCs w:val="22"/>
          <w:lang w:val="en-US" w:eastAsia="zh-CN" w:bidi="ar"/>
        </w:rPr>
        <w:t>who has incurred losses on net positions in the contract of an average level of no less than six percent (6%)</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for silver futures contracts, of the settlement price of the base date.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(ii)</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Positions eligible to fill the unfilled orders</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of a Trader. The positions eligible to fill the unfilled orders include the net positions, on which the</w:t>
      </w:r>
      <w:r>
        <w:rPr>
          <w:rFonts w:hint="default" w:ascii="Times New Roman" w:hAnsi="Times New Roman" w:eastAsia="宋体" w:cs="Times New Roman"/>
          <w:bCs/>
          <w:color w:val="auto"/>
          <w:kern w:val="0"/>
          <w:sz w:val="22"/>
          <w:szCs w:val="22"/>
          <w:lang w:val="en-US" w:eastAsia="zh-CN" w:bidi="ar"/>
        </w:rPr>
        <w:t xml:space="preserve"> Trader</w:t>
      </w:r>
      <w:r>
        <w:rPr>
          <w:rFonts w:hint="default" w:ascii="Times New Roman" w:hAnsi="Times New Roman" w:eastAsia="宋体" w:cs="Times New Roman"/>
          <w:bCs/>
          <w:color w:val="auto"/>
          <w:kern w:val="2"/>
          <w:sz w:val="22"/>
          <w:szCs w:val="22"/>
          <w:lang w:val="en-US" w:eastAsia="zh-CN" w:bidi="ar"/>
        </w:rPr>
        <w:t>, as calculated using the above formula</w:t>
      </w: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宋体" w:cs="Times New Roman"/>
          <w:bCs/>
          <w:color w:val="auto"/>
          <w:kern w:val="2"/>
          <w:sz w:val="22"/>
          <w:szCs w:val="22"/>
          <w:lang w:val="en-US" w:eastAsia="zh-CN" w:bidi="ar"/>
        </w:rPr>
        <w:t>stipulated in the Risk Management Rules of the Shanghai Futures Exchange, records average gains for</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purposes or for hedging purposes at no less than six percent (6%)</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of the settlement price of the base date.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(iii)</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Principles for the order fill of unfilled orders. The order fill of unfilled orders shall take place in the order of the following four levels with regard to the amount of gains and whether such positions are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or hedging: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Level 1: Unfilled orders shall be filled with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positions eligible to fill the unfilled orders of any</w:t>
      </w:r>
      <w:r>
        <w:rPr>
          <w:rFonts w:hint="default" w:ascii="Times New Roman" w:hAnsi="Times New Roman" w:eastAsia="宋体" w:cs="Times New Roman"/>
          <w:bCs/>
          <w:color w:val="auto"/>
          <w:kern w:val="0"/>
          <w:sz w:val="22"/>
          <w:szCs w:val="22"/>
          <w:lang w:val="en-US" w:eastAsia="zh-CN" w:bidi="ar"/>
        </w:rPr>
        <w:t xml:space="preserve"> Trader</w:t>
      </w:r>
      <w:r>
        <w:rPr>
          <w:rFonts w:hint="default" w:ascii="Times New Roman" w:hAnsi="Times New Roman" w:eastAsia="宋体" w:cs="Times New Roman"/>
          <w:bCs/>
          <w:color w:val="auto"/>
          <w:kern w:val="2"/>
          <w:sz w:val="22"/>
          <w:szCs w:val="22"/>
          <w:lang w:val="en-US" w:eastAsia="zh-CN" w:bidi="ar"/>
        </w:rPr>
        <w:t xml:space="preserve"> with average gains on net positions of no less than six percent (6%) of the settlement price on the base date for the contracts in</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silver futures, or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 Gains of Over 6%;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Level 2: Unfilled orders shall be filled with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positions eligible to fill the unfilled orders of any</w:t>
      </w:r>
      <w:r>
        <w:rPr>
          <w:rFonts w:hint="default" w:ascii="Times New Roman" w:hAnsi="Times New Roman" w:eastAsia="宋体" w:cs="Times New Roman"/>
          <w:bCs/>
          <w:color w:val="auto"/>
          <w:kern w:val="0"/>
          <w:sz w:val="22"/>
          <w:szCs w:val="22"/>
          <w:lang w:val="en-US" w:eastAsia="zh-CN" w:bidi="ar"/>
        </w:rPr>
        <w:t xml:space="preserve"> Trader</w:t>
      </w:r>
      <w:r>
        <w:rPr>
          <w:rFonts w:hint="default" w:ascii="Times New Roman" w:hAnsi="Times New Roman" w:eastAsia="宋体" w:cs="Times New Roman"/>
          <w:bCs/>
          <w:color w:val="auto"/>
          <w:kern w:val="2"/>
          <w:sz w:val="22"/>
          <w:szCs w:val="22"/>
          <w:lang w:val="en-US" w:eastAsia="zh-CN" w:bidi="ar"/>
        </w:rPr>
        <w:t xml:space="preserve"> with average gains on net positions of no less than three percent (3%) but no more than six percent (6%) of the settlement price on the base date for contracts with respect to</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 xml:space="preserve">silver futures, or the </w:t>
      </w:r>
      <w:r>
        <w:rPr>
          <w:rFonts w:hint="default" w:ascii="Times New Roman" w:hAnsi="Times New Roman" w:eastAsia="宋体" w:cs="Times New Roman"/>
          <w:bCs/>
          <w:color w:val="auto"/>
          <w:kern w:val="0"/>
          <w:sz w:val="22"/>
          <w:szCs w:val="22"/>
          <w:lang w:val="en-US" w:eastAsia="zh-CN" w:bidi="ar"/>
        </w:rPr>
        <w:t>General</w:t>
      </w:r>
      <w:r>
        <w:rPr>
          <w:rFonts w:hint="default" w:ascii="Times New Roman" w:hAnsi="Times New Roman" w:eastAsia="宋体" w:cs="Times New Roman"/>
          <w:bCs/>
          <w:color w:val="auto"/>
          <w:kern w:val="2"/>
          <w:sz w:val="22"/>
          <w:szCs w:val="22"/>
          <w:lang w:val="en-US" w:eastAsia="zh-CN" w:bidi="ar"/>
        </w:rPr>
        <w:t xml:space="preserve"> Position Gains of Over 3%;</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Level 3: Unfilled orders shall be filled with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positions eligible to fill the unfilled orders of a</w:t>
      </w:r>
      <w:r>
        <w:rPr>
          <w:rFonts w:hint="default" w:ascii="Times New Roman" w:hAnsi="Times New Roman" w:eastAsia="宋体" w:cs="Times New Roman"/>
          <w:bCs/>
          <w:color w:val="auto"/>
          <w:kern w:val="0"/>
          <w:sz w:val="22"/>
          <w:szCs w:val="22"/>
          <w:lang w:val="en-US" w:eastAsia="zh-CN" w:bidi="ar"/>
        </w:rPr>
        <w:t xml:space="preserve"> Trader</w:t>
      </w:r>
      <w:r>
        <w:rPr>
          <w:rFonts w:hint="default" w:ascii="Times New Roman" w:hAnsi="Times New Roman" w:eastAsia="宋体" w:cs="Times New Roman"/>
          <w:bCs/>
          <w:color w:val="auto"/>
          <w:kern w:val="2"/>
          <w:sz w:val="22"/>
          <w:szCs w:val="22"/>
          <w:lang w:val="en-US" w:eastAsia="zh-CN" w:bidi="ar"/>
        </w:rPr>
        <w:t xml:space="preserve"> with average gains on net positions of no more than three percent (3%) of the settlement price on the base date for contracts in</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silver futures, or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 Gains Below 3%; and</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Level 4: Unfilled orders shall be filled with the hedging positions eligible to fill the unfilled orders of a</w:t>
      </w:r>
      <w:r>
        <w:rPr>
          <w:rFonts w:hint="default" w:ascii="Times New Roman" w:hAnsi="Times New Roman" w:eastAsia="宋体" w:cs="Times New Roman"/>
          <w:bCs/>
          <w:color w:val="auto"/>
          <w:kern w:val="0"/>
          <w:sz w:val="22"/>
          <w:szCs w:val="22"/>
          <w:lang w:val="en-US" w:eastAsia="zh-CN" w:bidi="ar"/>
        </w:rPr>
        <w:t xml:space="preserve"> Trader</w:t>
      </w:r>
      <w:r>
        <w:rPr>
          <w:rFonts w:hint="default" w:ascii="Times New Roman" w:hAnsi="Times New Roman" w:eastAsia="宋体" w:cs="Times New Roman"/>
          <w:bCs/>
          <w:color w:val="auto"/>
          <w:kern w:val="2"/>
          <w:sz w:val="22"/>
          <w:szCs w:val="22"/>
          <w:lang w:val="en-US" w:eastAsia="zh-CN" w:bidi="ar"/>
        </w:rPr>
        <w:t xml:space="preserve"> with average gains on net positions of no less than six percent (6%) of the settlement price on the base date for contracts in</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silver</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futures, or the Hedging Position Gains of Over 6%.</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(iv)</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Methods for the order fill of unfilled orders. If the amount of the General Position Gains of Over 6% is greater than or equal to that of the unfilled orders, the unfilled orders shall be filled pro rata to the amount of the General Position Gains of Over 6%. If the amount of the General Position Gains of Over 6% is smaller than that of the unfilled orders, the General Position Gains of Over 6% shall be filled pro rata to the amount of the unfilled orders. The residual unfilled orders, if any, shall be filled with the General Positions Gains of Over 3% in the same manner as the foregoing, and if there are still orders remaining, the outstanding unfilled orders shall be filled to the General Position Gains of Below 3%, and so to the Hedging Position Gains of Over 6%. Unfilled orders which eventually remain after all the order fills described above, if any, shall not be filled at all.</w:t>
      </w:r>
    </w:p>
    <w:p>
      <w:pPr>
        <w:keepNext w:val="0"/>
        <w:keepLines w:val="0"/>
        <w:widowControl/>
        <w:suppressLineNumbers w:val="0"/>
        <w:adjustRightInd w:val="0"/>
        <w:snapToGrid w:val="0"/>
        <w:spacing w:before="0" w:beforeAutospacing="0" w:after="240" w:afterLines="100" w:afterAutospacing="0" w:line="273" w:lineRule="auto"/>
        <w:ind w:left="0" w:right="0"/>
        <w:jc w:val="center"/>
        <w:rPr>
          <w:rFonts w:hint="default" w:ascii="Times New Roman" w:hAnsi="Times New Roman" w:eastAsia="宋体" w:cs="Times New Roman"/>
          <w:b/>
          <w:bCs/>
          <w:kern w:val="2"/>
          <w:sz w:val="22"/>
          <w:szCs w:val="22"/>
        </w:rPr>
      </w:pPr>
      <w:r>
        <w:rPr>
          <w:rFonts w:hint="default" w:ascii="Times New Roman" w:hAnsi="Times New Roman" w:eastAsia="宋体" w:cs="Times New Roman"/>
          <w:b/>
          <w:bCs w:val="0"/>
          <w:color w:val="auto"/>
          <w:kern w:val="2"/>
          <w:sz w:val="22"/>
          <w:szCs w:val="22"/>
          <w:lang w:val="en-US" w:eastAsia="zh-CN" w:bidi="ar"/>
        </w:rPr>
        <w:t>CHAPTER 5</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b/>
          <w:bCs/>
          <w:color w:val="auto"/>
          <w:kern w:val="2"/>
          <w:sz w:val="22"/>
          <w:szCs w:val="22"/>
          <w:lang w:val="en-US" w:eastAsia="zh-CN" w:bidi="ar"/>
        </w:rPr>
        <w:t>MISCELLANEOUS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iCs/>
          <w:kern w:val="2"/>
          <w:sz w:val="22"/>
          <w:szCs w:val="22"/>
        </w:rPr>
      </w:pPr>
      <w:r>
        <w:rPr>
          <w:rFonts w:hint="default" w:ascii="Times New Roman" w:hAnsi="Times New Roman" w:eastAsia="宋体" w:cs="Times New Roman"/>
          <w:b/>
          <w:bCs/>
          <w:color w:val="auto"/>
          <w:kern w:val="2"/>
          <w:sz w:val="22"/>
          <w:szCs w:val="22"/>
          <w:lang w:val="en-US" w:eastAsia="zh-CN" w:bidi="ar"/>
        </w:rPr>
        <w:t>Article 33</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 xml:space="preserve">Matters not covered herein </w:t>
      </w:r>
      <w:r>
        <w:rPr>
          <w:rFonts w:hint="default" w:ascii="Times New Roman" w:hAnsi="Times New Roman" w:eastAsia="宋体" w:cs="Times New Roman"/>
          <w:iCs/>
          <w:color w:val="auto"/>
          <w:kern w:val="2"/>
          <w:sz w:val="22"/>
          <w:szCs w:val="22"/>
          <w:lang w:val="en-US" w:eastAsia="zh-CN" w:bidi="ar"/>
        </w:rPr>
        <w:t>shall be governed by the applicable business rules of the Exchange.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
          <w:bCs/>
          <w:color w:val="auto"/>
          <w:kern w:val="2"/>
          <w:sz w:val="22"/>
          <w:szCs w:val="22"/>
          <w:lang w:val="en-US" w:eastAsia="zh-CN" w:bidi="ar"/>
        </w:rPr>
        <w:t>Article 34</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等线" w:cs="Times New Roman"/>
          <w:color w:val="auto"/>
          <w:kern w:val="22"/>
          <w:sz w:val="22"/>
          <w:szCs w:val="22"/>
          <w:lang w:val="en-US" w:eastAsia="zh-CN" w:bidi="ar"/>
        </w:rPr>
        <w:t xml:space="preserve">Any violations of these </w:t>
      </w:r>
      <w:r>
        <w:rPr>
          <w:rFonts w:hint="default" w:ascii="Times New Roman" w:hAnsi="Times New Roman" w:eastAsia="宋体" w:cs="Times New Roman"/>
          <w:i/>
          <w:iCs w:val="0"/>
          <w:color w:val="auto"/>
          <w:kern w:val="2"/>
          <w:sz w:val="22"/>
          <w:szCs w:val="22"/>
          <w:lang w:val="en-US" w:eastAsia="zh-CN" w:bidi="ar"/>
        </w:rPr>
        <w:t>Silver Futures Rules</w:t>
      </w:r>
      <w:r>
        <w:rPr>
          <w:rFonts w:hint="default" w:ascii="Times New Roman" w:hAnsi="Times New Roman" w:eastAsia="等线" w:cs="Times New Roman"/>
          <w:i/>
          <w:iCs/>
          <w:color w:val="auto"/>
          <w:kern w:val="2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 xml:space="preserve">will be handled by the Exchange in accordance with the </w:t>
      </w:r>
      <w:r>
        <w:rPr>
          <w:rFonts w:hint="default" w:ascii="Times New Roman" w:hAnsi="Times New Roman" w:eastAsia="宋体" w:cs="Times New Roman"/>
          <w:i/>
          <w:iCs/>
          <w:color w:val="auto"/>
          <w:kern w:val="2"/>
          <w:sz w:val="22"/>
          <w:szCs w:val="22"/>
          <w:lang w:val="en-US" w:eastAsia="zh-CN" w:bidi="ar"/>
        </w:rPr>
        <w:t>Enforcement Rules of the Shanghai Futures Exchange</w:t>
      </w:r>
      <w:r>
        <w:rPr>
          <w:rFonts w:hint="default" w:ascii="Times New Roman" w:hAnsi="Times New Roman" w:eastAsia="宋体" w:cs="Times New Roman"/>
          <w:color w:val="auto"/>
          <w:kern w:val="2"/>
          <w:sz w:val="22"/>
          <w:szCs w:val="22"/>
          <w:lang w:val="en-US" w:eastAsia="zh-CN" w:bidi="ar"/>
        </w:rPr>
        <w:t>.</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
          <w:bCs/>
          <w:color w:val="auto"/>
          <w:kern w:val="2"/>
          <w:sz w:val="22"/>
          <w:szCs w:val="22"/>
          <w:lang w:val="en-US" w:eastAsia="zh-CN" w:bidi="ar"/>
        </w:rPr>
        <w:t>Article 35</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 xml:space="preserve">The Exchange reserves the right to interpret these </w:t>
      </w:r>
      <w:r>
        <w:rPr>
          <w:rFonts w:hint="default" w:ascii="Times New Roman" w:hAnsi="Times New Roman" w:eastAsia="宋体" w:cs="Times New Roman"/>
          <w:i/>
          <w:iCs w:val="0"/>
          <w:color w:val="auto"/>
          <w:kern w:val="2"/>
          <w:sz w:val="22"/>
          <w:szCs w:val="22"/>
          <w:lang w:val="en-US" w:eastAsia="zh-CN" w:bidi="ar"/>
        </w:rPr>
        <w:t>Silver Futures Rules</w:t>
      </w:r>
      <w:r>
        <w:rPr>
          <w:rFonts w:hint="default" w:ascii="Times New Roman" w:hAnsi="Times New Roman" w:eastAsia="宋体" w:cs="Times New Roman"/>
          <w:bCs/>
          <w:color w:val="auto"/>
          <w:kern w:val="2"/>
          <w:sz w:val="22"/>
          <w:szCs w:val="22"/>
          <w:lang w:val="en-US" w:eastAsia="zh-CN" w:bidi="ar"/>
        </w:rPr>
        <w:t>.</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color w:val="auto"/>
          <w:kern w:val="2"/>
          <w:sz w:val="22"/>
          <w:szCs w:val="22"/>
          <w:lang w:val="en-US" w:eastAsia="zh-CN" w:bidi="ar"/>
        </w:rPr>
      </w:pPr>
      <w:r>
        <w:rPr>
          <w:rFonts w:hint="default" w:ascii="Times New Roman" w:hAnsi="Times New Roman" w:eastAsia="宋体" w:cs="Times New Roman"/>
          <w:b/>
          <w:bCs/>
          <w:color w:val="auto"/>
          <w:kern w:val="2"/>
          <w:sz w:val="22"/>
          <w:szCs w:val="22"/>
          <w:lang w:val="en-US" w:eastAsia="zh-CN" w:bidi="ar"/>
        </w:rPr>
        <w:t>Article 36</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 xml:space="preserve">These </w:t>
      </w:r>
      <w:r>
        <w:rPr>
          <w:rFonts w:hint="default" w:ascii="Times New Roman" w:hAnsi="Times New Roman" w:eastAsia="宋体" w:cs="Times New Roman"/>
          <w:i/>
          <w:iCs w:val="0"/>
          <w:color w:val="auto"/>
          <w:kern w:val="2"/>
          <w:sz w:val="22"/>
          <w:szCs w:val="22"/>
          <w:lang w:val="en-US" w:eastAsia="zh-CN" w:bidi="ar"/>
        </w:rPr>
        <w:t>Silver Futures Rules</w:t>
      </w:r>
      <w:r>
        <w:rPr>
          <w:rFonts w:hint="default" w:ascii="Times New Roman" w:hAnsi="Times New Roman" w:eastAsia="宋体" w:cs="Times New Roman"/>
          <w:bCs/>
          <w:color w:val="auto"/>
          <w:kern w:val="2"/>
          <w:sz w:val="22"/>
          <w:szCs w:val="22"/>
          <w:lang w:val="en-US" w:eastAsia="zh-CN" w:bidi="ar"/>
        </w:rPr>
        <w:t xml:space="preserve"> take effect o</w:t>
      </w:r>
      <w:r>
        <w:rPr>
          <w:rFonts w:hint="default" w:ascii="Times New Roman" w:hAnsi="Times New Roman" w:eastAsia="宋体" w:cs="Times New Roman"/>
          <w:color w:val="auto"/>
          <w:kern w:val="2"/>
          <w:sz w:val="22"/>
          <w:szCs w:val="22"/>
          <w:lang w:val="en-US" w:eastAsia="zh-CN" w:bidi="ar"/>
        </w:rPr>
        <w:t xml:space="preserve">n </w:t>
      </w:r>
      <w:r>
        <w:rPr>
          <w:rFonts w:hint="eastAsia" w:ascii="Times New Roman" w:hAnsi="Times New Roman" w:eastAsia="宋体" w:cs="Times New Roman"/>
          <w:color w:val="auto"/>
          <w:kern w:val="2"/>
          <w:sz w:val="22"/>
          <w:szCs w:val="22"/>
          <w:lang w:val="en-US" w:eastAsia="zh-CN" w:bidi="ar"/>
        </w:rPr>
        <w:t>January 1, 2026</w:t>
      </w:r>
      <w:r>
        <w:rPr>
          <w:rFonts w:hint="default" w:ascii="Times New Roman" w:hAnsi="Times New Roman" w:eastAsia="宋体" w:cs="Times New Roman"/>
          <w:color w:val="auto"/>
          <w:kern w:val="2"/>
          <w:sz w:val="22"/>
          <w:szCs w:val="22"/>
          <w:lang w:val="en-US" w:eastAsia="zh-CN" w:bidi="ar"/>
        </w:rPr>
        <w:t>.</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华文中宋">
    <w:panose1 w:val="02010600040101010101"/>
    <w:charset w:val="86"/>
    <w:family w:val="auto"/>
    <w:pitch w:val="default"/>
    <w:sig w:usb0="00000287" w:usb1="080F0000" w:usb2="00000000" w:usb3="00000000" w:csb0="0004009F" w:csb1="DFD70000"/>
  </w:font>
  <w:font w:name="等线">
    <w:altName w:val="华文中宋"/>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&#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SLb2J9wCAAAkBgAADgAAAAAAAAABACAAAAA1&#10;AQAAZHJzL2Uyb0RvYy54bWxQSwUGAAAAAAYABgBZAQAAgwY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7ED5C8"/>
    <w:rsid w:val="5F7ED5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1"/>
    <w:basedOn w:val="1"/>
    <w:next w:val="1"/>
    <w:qFormat/>
    <w:uiPriority w:val="0"/>
    <w:pPr>
      <w:snapToGrid w:val="0"/>
      <w:spacing w:before="100" w:beforeAutospacing="1" w:after="240" w:afterLines="100" w:afterAutospacing="0" w:line="256" w:lineRule="auto"/>
      <w:jc w:val="center"/>
      <w:outlineLvl w:val="0"/>
    </w:pPr>
    <w:rPr>
      <w:rFonts w:hint="default" w:ascii="Times New Roman" w:hAnsi="Times New Roman" w:eastAsia="宋体" w:cs="Times New Roman"/>
      <w:b/>
      <w:bCs/>
      <w:kern w:val="2"/>
      <w:sz w:val="28"/>
      <w:szCs w:val="2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2025-12-31T14:49:00Z</dcterms:created>
  <dc:creator>ji.shuoren</dc:creator>
  <cp:lastModifiedBy>ji.shuoren</cp:lastModifiedBy>
  <dcterms:modified xsi:type="dcterms:W3CDTF">2025-12-31T14:49:50Z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CDB04E89869B40B271C75469FF24498B</vt:lpwstr>
  </property>
</Properties>
</file>