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rPr>
          <w:rFonts w:hint="default" w:ascii="Times New Roman" w:hAnsi="Times New Roman" w:eastAsia="华文中宋" w:cs="Times New Roman"/>
          <w:b/>
          <w:bCs/>
          <w:kern w:val="2"/>
          <w:sz w:val="22"/>
          <w:szCs w:val="22"/>
        </w:rPr>
      </w:pPr>
    </w:p>
    <w:p>
      <w:pPr>
        <w:pStyle w:val="2"/>
        <w:keepNext w:val="0"/>
        <w:keepLines w:val="0"/>
        <w:widowControl/>
        <w:suppressLineNumbers w:val="0"/>
        <w:rPr>
          <w:rFonts w:hint="default" w:ascii="Times New Roman" w:hAnsi="Times New Roman" w:eastAsia="华文中宋" w:cs="Times New Roman"/>
          <w:b/>
          <w:bCs/>
          <w:kern w:val="2"/>
          <w:sz w:val="22"/>
          <w:szCs w:val="22"/>
        </w:rPr>
      </w:pPr>
      <w:bookmarkStart w:id="0" w:name="_GoBack"/>
      <w:r>
        <w:rPr>
          <w:rFonts w:hint="default" w:ascii="Times New Roman" w:hAnsi="Times New Roman" w:eastAsia="华文中宋" w:cs="Times New Roman"/>
          <w:b/>
          <w:bCs/>
          <w:kern w:val="2"/>
          <w:sz w:val="22"/>
          <w:szCs w:val="22"/>
        </w:rPr>
        <w:t xml:space="preserve">HOT-ROLLED COIL FUTURES RULES </w:t>
      </w:r>
      <w:bookmarkEnd w:id="0"/>
      <w:r>
        <w:rPr>
          <w:rFonts w:hint="default" w:ascii="Times New Roman" w:hAnsi="Times New Roman" w:eastAsia="华文中宋" w:cs="Times New Roman"/>
          <w:b/>
          <w:bCs/>
          <w:kern w:val="2"/>
          <w:sz w:val="22"/>
          <w:szCs w:val="22"/>
        </w:rPr>
        <w:t>OF THE SHANGHAI FUTURES EXCHANGE</w:t>
      </w:r>
    </w:p>
    <w:p>
      <w:pPr>
        <w:keepNext w:val="0"/>
        <w:keepLines w:val="0"/>
        <w:widowControl/>
        <w:suppressLineNumbers w:val="0"/>
        <w:adjustRightInd w:val="0"/>
        <w:snapToGrid w:val="0"/>
        <w:spacing w:before="360" w:beforeLines="150" w:beforeAutospacing="0" w:after="240" w:afterLines="100" w:afterAutospacing="0" w:line="256"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CHAPTER 1</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GENERAL PROVISIONS</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These </w:t>
      </w:r>
      <w:r>
        <w:rPr>
          <w:rFonts w:hint="default" w:ascii="Times New Roman" w:hAnsi="Times New Roman" w:eastAsia="宋体" w:cs="Times New Roman"/>
          <w:i/>
          <w:iCs w:val="0"/>
          <w:color w:val="auto"/>
          <w:kern w:val="2"/>
          <w:sz w:val="22"/>
          <w:szCs w:val="22"/>
          <w:lang w:val="en-US" w:eastAsia="zh-CN" w:bidi="ar"/>
        </w:rPr>
        <w:t>Hot-Rolled Coil Futures Rules</w:t>
      </w:r>
      <w:r>
        <w:rPr>
          <w:rFonts w:hint="default" w:ascii="Times New Roman" w:hAnsi="Times New Roman" w:eastAsia="宋体" w:cs="Times New Roman"/>
          <w:color w:val="auto"/>
          <w:kern w:val="2"/>
          <w:sz w:val="22"/>
          <w:szCs w:val="22"/>
          <w:lang w:val="en-US" w:eastAsia="zh-CN" w:bidi="ar"/>
        </w:rPr>
        <w:t xml:space="preserve"> are made in accordance with the </w:t>
      </w:r>
      <w:r>
        <w:rPr>
          <w:rFonts w:hint="default" w:ascii="Times New Roman" w:hAnsi="Times New Roman" w:eastAsia="宋体" w:cs="Times New Roman"/>
          <w:i/>
          <w:iCs/>
          <w:color w:val="auto"/>
          <w:kern w:val="2"/>
          <w:sz w:val="22"/>
          <w:szCs w:val="22"/>
          <w:lang w:val="en-US" w:eastAsia="zh-CN" w:bidi="ar"/>
        </w:rPr>
        <w:t>General Exchange Rules of the Shanghai Futures Exchange</w:t>
      </w:r>
      <w:r>
        <w:rPr>
          <w:rFonts w:hint="default" w:ascii="Times New Roman" w:hAnsi="Times New Roman" w:eastAsia="宋体" w:cs="Times New Roman"/>
          <w:color w:val="auto"/>
          <w:kern w:val="2"/>
          <w:sz w:val="22"/>
          <w:szCs w:val="22"/>
          <w:lang w:val="en-US" w:eastAsia="zh-CN" w:bidi="ar"/>
        </w:rPr>
        <w:t>, the</w:t>
      </w:r>
      <w:r>
        <w:rPr>
          <w:rFonts w:hint="eastAsia" w:ascii="Times New Roman" w:hAnsi="Times New Roman" w:eastAsia="宋体" w:cs="Times New Roman"/>
          <w:i/>
          <w:iCs/>
          <w:color w:val="auto"/>
          <w:kern w:val="2"/>
          <w:sz w:val="22"/>
          <w:szCs w:val="22"/>
          <w:lang w:val="en-US" w:eastAsia="zh-CN" w:bidi="ar"/>
        </w:rPr>
        <w:t xml:space="preserve"> </w:t>
      </w:r>
      <w:r>
        <w:rPr>
          <w:rFonts w:hint="default" w:ascii="Times New Roman" w:hAnsi="Times New Roman" w:eastAsia="宋体" w:cs="Times New Roman"/>
          <w:i/>
          <w:iCs/>
          <w:color w:val="auto"/>
          <w:kern w:val="2"/>
          <w:sz w:val="22"/>
          <w:szCs w:val="22"/>
          <w:lang w:val="en-US" w:eastAsia="zh-CN" w:bidi="ar"/>
        </w:rPr>
        <w:t>SHFE Hot-Rolled Coil Futures Contract Specifications</w:t>
      </w:r>
      <w:r>
        <w:rPr>
          <w:rFonts w:hint="default" w:ascii="Times New Roman" w:hAnsi="Times New Roman" w:eastAsia="宋体" w:cs="Times New Roman"/>
          <w:color w:val="auto"/>
          <w:kern w:val="2"/>
          <w:sz w:val="22"/>
          <w:szCs w:val="22"/>
          <w:lang w:val="en-US" w:eastAsia="zh-CN" w:bidi="ar"/>
        </w:rPr>
        <w:t>, and the relevant business rules</w:t>
      </w:r>
      <w:r>
        <w:rPr>
          <w:rFonts w:hint="eastAsia" w:ascii="Times New Roman" w:hAnsi="Times New Roman" w:eastAsia="宋体"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to regulate business related to hot-rolled coil futures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at the Shanghai Futures Exchange (the “Exchange”).</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b/>
          <w:bCs/>
          <w:color w:val="000000"/>
          <w:kern w:val="2"/>
          <w:sz w:val="22"/>
          <w:szCs w:val="22"/>
          <w:lang w:val="en-US" w:eastAsia="zh-CN" w:bidi="ar"/>
        </w:rPr>
        <w:t>Article 2</w:t>
      </w:r>
      <w:r>
        <w:rPr>
          <w:rFonts w:hint="eastAsia" w:ascii="Times New Roman" w:hAnsi="Times New Roman" w:cs="Times New Roman"/>
          <w:b/>
          <w:bCs/>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 xml:space="preserve">These </w:t>
      </w:r>
      <w:r>
        <w:rPr>
          <w:rFonts w:hint="default" w:ascii="Times New Roman" w:hAnsi="Times New Roman" w:eastAsia="宋体" w:cs="Times New Roman"/>
          <w:i/>
          <w:iCs w:val="0"/>
          <w:color w:val="auto"/>
          <w:kern w:val="2"/>
          <w:sz w:val="22"/>
          <w:szCs w:val="22"/>
          <w:lang w:val="en-US" w:eastAsia="zh-CN" w:bidi="ar"/>
        </w:rPr>
        <w:t>Hot-Rolled Coil Futures Rules</w:t>
      </w:r>
      <w:r>
        <w:rPr>
          <w:rFonts w:hint="default" w:ascii="Times New Roman" w:hAnsi="Times New Roman" w:eastAsia="宋体" w:cs="Times New Roman"/>
          <w:color w:val="000000"/>
          <w:kern w:val="2"/>
          <w:sz w:val="22"/>
          <w:szCs w:val="22"/>
          <w:lang w:val="en-US" w:eastAsia="zh-CN" w:bidi="ar"/>
        </w:rPr>
        <w:t xml:space="preserve"> shall be observed by the Exchange, Members, Clients, Delivery Storage Facilities, Designated Inspection Agencies, Futures Margin Depository</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Institutions, and other participants of the futures market.</w:t>
      </w:r>
    </w:p>
    <w:p>
      <w:pPr>
        <w:keepNext w:val="0"/>
        <w:keepLines w:val="0"/>
        <w:widowControl/>
        <w:suppressLineNumbers w:val="0"/>
        <w:adjustRightInd w:val="0"/>
        <w:snapToGrid w:val="0"/>
        <w:spacing w:before="360" w:beforeLines="150" w:beforeAutospacing="0" w:after="240" w:afterLines="100" w:afterAutospacing="0" w:line="256"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CHAPTER 2</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TRADING</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3</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Contract size for hot-rolled coil futures is ten (10) metric tons per lot.</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000000"/>
          <w:kern w:val="2"/>
          <w:sz w:val="22"/>
          <w:szCs w:val="22"/>
          <w:lang w:val="en-US" w:eastAsia="zh-CN" w:bidi="ar"/>
        </w:rPr>
        <w:t>Article 4</w:t>
      </w:r>
      <w:r>
        <w:rPr>
          <w:rFonts w:hint="eastAsia" w:ascii="Times New Roman" w:hAnsi="Times New Roman" w:cs="Times New Roman"/>
          <w:b/>
          <w:bCs/>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 xml:space="preserve">Price quotation of a </w:t>
      </w:r>
      <w:r>
        <w:rPr>
          <w:rFonts w:hint="default" w:ascii="Times New Roman" w:hAnsi="Times New Roman" w:eastAsia="宋体" w:cs="Times New Roman"/>
          <w:color w:val="auto"/>
          <w:kern w:val="2"/>
          <w:sz w:val="22"/>
          <w:szCs w:val="22"/>
          <w:lang w:val="en-US" w:eastAsia="zh-CN" w:bidi="ar"/>
        </w:rPr>
        <w:t>hot-rolled coil futures contract is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Yuan (RMB)/metric ton.</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5</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Minimum price fluctuation</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of a hot-rolled coil futures contract is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one (1) Yuan/metric ton.</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6</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Listed contracts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of hot-rolled coil futures cover the most recent twelve (12) months.</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7</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Trading hours of a</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hot-rolled coil futures contract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are 9:00 a.m. to 11:30 a.m., 1:30 p.m. to 3:00 p.m., and other hours specified by the Exchange.</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8</w:t>
      </w:r>
      <w:r>
        <w:rPr>
          <w:rFonts w:hint="eastAsia" w:ascii="Times New Roman" w:hAnsi="Times New Roman" w:cs="Times New Roman"/>
          <w:b/>
          <w:bCs/>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last trading day of a</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hot-rolled coil futures contract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is the 15th day of the contract month (postponed accordingly if it is a legal holiday in China</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and subject to separate adjustment and announcement by the Exchange if it falls in the Spring Festival month or any other month specially designated by the Exchange).</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9</w:t>
      </w:r>
      <w:r>
        <w:rPr>
          <w:rFonts w:hint="default" w:ascii="Times New Roman" w:hAnsi="Times New Roman" w:eastAsia="宋体" w:cs="Times New Roman"/>
          <w:color w:val="auto"/>
          <w:kern w:val="2"/>
          <w:sz w:val="22"/>
          <w:szCs w:val="22"/>
          <w:lang w:val="en-US" w:eastAsia="zh-CN" w:bidi="ar"/>
        </w:rPr>
        <w:tab/>
      </w:r>
      <w:r>
        <w:rPr>
          <w:rFonts w:hint="eastAsia" w:ascii="Times New Roman" w:hAnsi="Times New Roman"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Contract symbol</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of hot-rolled coil futures is HC.</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10</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For the hedging and arbitrage position quotas of a</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hot-rolled coil</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futures contract, regular months extend from the day of listing to the last trading day of the second month before the delivery month, while nearby delivery months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cover the month before the delivery month and the delivery month.</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b w:val="0"/>
          <w:bCs w:val="0"/>
          <w:color w:val="auto"/>
          <w:kern w:val="2"/>
          <w:sz w:val="22"/>
          <w:szCs w:val="22"/>
        </w:rPr>
      </w:pPr>
      <w:r>
        <w:rPr>
          <w:rFonts w:hint="default" w:ascii="Times New Roman" w:hAnsi="Times New Roman" w:eastAsia="宋体" w:cs="Times New Roman"/>
          <w:b/>
          <w:bCs/>
          <w:color w:val="auto"/>
          <w:kern w:val="2"/>
          <w:sz w:val="22"/>
          <w:szCs w:val="22"/>
          <w:lang w:val="en-US" w:eastAsia="zh-CN" w:bidi="ar"/>
        </w:rPr>
        <w:t>Article 11</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An application for a</w:t>
      </w:r>
      <w:r>
        <w:rPr>
          <w:rFonts w:hint="default" w:ascii="Times New Roman" w:hAnsi="Times New Roman" w:eastAsia="宋体" w:cs="Times New Roman"/>
          <w:b w:val="0"/>
          <w:bCs w:val="0"/>
          <w:color w:val="auto"/>
          <w:kern w:val="2"/>
          <w:sz w:val="22"/>
          <w:szCs w:val="22"/>
          <w:lang w:val="en-US" w:eastAsia="zh-CN" w:bidi="ar"/>
        </w:rPr>
        <w:t xml:space="preserve"> contract-specific regular month hedging position quota of a hot-rolled coil futures contract shall be submitted by the last trading day of the second month before the delivery month of the contract. Late applications will not be accepted by the Exchange. Applications for product-specific regular month hedging position quota are subject to the relevant provisions of the </w:t>
      </w:r>
      <w:r>
        <w:rPr>
          <w:rFonts w:hint="default" w:ascii="Times New Roman" w:hAnsi="Times New Roman" w:eastAsia="宋体" w:cs="Times New Roman"/>
          <w:b w:val="0"/>
          <w:bCs w:val="0"/>
          <w:i/>
          <w:iCs/>
          <w:color w:val="auto"/>
          <w:kern w:val="2"/>
          <w:sz w:val="22"/>
          <w:szCs w:val="22"/>
          <w:lang w:val="en-US" w:eastAsia="zh-CN" w:bidi="ar"/>
        </w:rPr>
        <w:t>Hedge Trading Rules of the Shanghai Futures Exchange</w:t>
      </w:r>
      <w:r>
        <w:rPr>
          <w:rFonts w:hint="default" w:ascii="Times New Roman" w:hAnsi="Times New Roman" w:eastAsia="宋体" w:cs="Times New Roman"/>
          <w:b w:val="0"/>
          <w:bCs w:val="0"/>
          <w:color w:val="auto"/>
          <w:kern w:val="2"/>
          <w:sz w:val="22"/>
          <w:szCs w:val="22"/>
          <w:lang w:val="en-US" w:eastAsia="zh-CN" w:bidi="ar"/>
        </w:rPr>
        <w:t>.</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val="0"/>
          <w:bCs w:val="0"/>
          <w:color w:val="auto"/>
          <w:kern w:val="2"/>
          <w:sz w:val="22"/>
          <w:szCs w:val="22"/>
          <w:lang w:val="en-US" w:eastAsia="zh-CN" w:bidi="ar"/>
        </w:rPr>
        <w:t>An application for a nearby delivery month hedging position quota of a hot-rolled coil futures contract shall be submitted between the first trading day of the second</w:t>
      </w:r>
      <w:r>
        <w:rPr>
          <w:rFonts w:hint="default" w:ascii="Times New Roman" w:hAnsi="Times New Roman" w:eastAsia="宋体" w:cs="Times New Roman"/>
          <w:color w:val="C00000"/>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month before the delivery month of the contract and the last trading day of the month before the delivery month. Late applications will not be accepted by the Exchange. An application for a nearby delivery month arbitrage position quota of a hot-rolled coil futures contract shall be submitted between the first trading day of the second month before the delivery month of the contract and the last trading day of the month before the delivery month. Late applications will not be accepted by the Exchange.</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12</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Hedging position quota of a hot-rolled coil futures contract shall no longer be used in a revolving manner starting from the first trading day of the delivery month.</w:t>
      </w:r>
    </w:p>
    <w:p>
      <w:pPr>
        <w:keepNext w:val="0"/>
        <w:keepLines w:val="0"/>
        <w:widowControl/>
        <w:suppressLineNumbers w:val="0"/>
        <w:adjustRightInd w:val="0"/>
        <w:snapToGrid w:val="0"/>
        <w:spacing w:before="360" w:beforeLines="150" w:beforeAutospacing="0" w:after="240" w:afterLines="100" w:afterAutospacing="0" w:line="256"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CHAPTER 3</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DELIVERY</w:t>
      </w:r>
    </w:p>
    <w:p>
      <w:pPr>
        <w:keepNext w:val="0"/>
        <w:keepLines w:val="0"/>
        <w:widowControl/>
        <w:suppressLineNumbers w:val="0"/>
        <w:adjustRightInd w:val="0"/>
        <w:snapToGrid w:val="0"/>
        <w:spacing w:before="360" w:beforeLines="150" w:beforeAutospacing="0" w:after="240" w:afterLines="100" w:afterAutospacing="0" w:line="256"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SECTION 1 GENERAL PROVISIONS</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13</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A hot-rolled coil futures contract may be physically delivered through an Exchange of Futures for Physicals (“EFP”), a delivery warehouse, or a delivery factory.</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Hot-rolled coil futures adopt duty-paid delivery.</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14</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Grade and quality specifications are provided in the</w:t>
      </w:r>
      <w:r>
        <w:rPr>
          <w:rFonts w:hint="default" w:ascii="Times New Roman" w:hAnsi="Times New Roman" w:eastAsia="宋体" w:cs="Times New Roman"/>
          <w:i/>
          <w:iCs/>
          <w:color w:val="auto"/>
          <w:kern w:val="2"/>
          <w:sz w:val="22"/>
          <w:szCs w:val="22"/>
          <w:lang w:val="en-US" w:eastAsia="zh-CN" w:bidi="ar"/>
        </w:rPr>
        <w:t xml:space="preserve"> SHFE Hot-Rolled Coil Futures Contract</w:t>
      </w:r>
      <w:r>
        <w:rPr>
          <w:rFonts w:hint="eastAsia" w:ascii="Times New Roman" w:hAnsi="Times New Roman" w:eastAsia="宋体" w:cs="Times New Roman"/>
          <w:i/>
          <w:iCs/>
          <w:color w:val="auto"/>
          <w:kern w:val="2"/>
          <w:sz w:val="22"/>
          <w:szCs w:val="22"/>
          <w:lang w:val="en-US" w:eastAsia="zh-CN" w:bidi="ar"/>
        </w:rPr>
        <w:t xml:space="preserve"> </w:t>
      </w:r>
      <w:r>
        <w:rPr>
          <w:rFonts w:hint="default" w:ascii="Times New Roman" w:hAnsi="Times New Roman" w:eastAsia="宋体" w:cs="Times New Roman"/>
          <w:i/>
          <w:iCs/>
          <w:color w:val="auto"/>
          <w:kern w:val="2"/>
          <w:sz w:val="22"/>
          <w:szCs w:val="22"/>
          <w:lang w:val="en-US" w:eastAsia="zh-CN" w:bidi="ar"/>
        </w:rPr>
        <w:t>Specifications</w:t>
      </w:r>
      <w:r>
        <w:rPr>
          <w:rFonts w:hint="default" w:ascii="Times New Roman" w:hAnsi="Times New Roman" w:eastAsia="宋体" w:cs="Times New Roman"/>
          <w:color w:val="auto"/>
          <w:kern w:val="2"/>
          <w:sz w:val="22"/>
          <w:szCs w:val="22"/>
          <w:lang w:val="en-US" w:eastAsia="zh-CN" w:bidi="ar"/>
        </w:rPr>
        <w:t xml:space="preserve">. </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15</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Quality specifications </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The deliverable hot-rolled coils shall be registered commodities from a manufacturer registered with the Exchange.</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The shape, dimension, weight, and tolerance of deliverable hot-rolled coils shall conform to the specifications of</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 xml:space="preserve">GB/T 3274-2017: </w:t>
      </w:r>
      <w:r>
        <w:rPr>
          <w:rFonts w:hint="default" w:ascii="Times New Roman" w:hAnsi="Times New Roman" w:eastAsia="宋体" w:cs="Times New Roman"/>
          <w:i/>
          <w:iCs/>
          <w:color w:val="auto"/>
          <w:kern w:val="2"/>
          <w:sz w:val="22"/>
          <w:szCs w:val="22"/>
          <w:lang w:val="en-US" w:eastAsia="zh-CN" w:bidi="ar"/>
        </w:rPr>
        <w:t>Hot-Rolled Plates and Strips of Carbon Structural Steel and Low-Alloy Structural Steel</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 xml:space="preserve">or JIS G 3101-2024: </w:t>
      </w:r>
      <w:r>
        <w:rPr>
          <w:rFonts w:hint="default" w:ascii="Times New Roman" w:hAnsi="Times New Roman" w:eastAsia="宋体" w:cs="Times New Roman"/>
          <w:i/>
          <w:iCs/>
          <w:color w:val="auto"/>
          <w:kern w:val="2"/>
          <w:sz w:val="22"/>
          <w:szCs w:val="22"/>
          <w:lang w:val="en-US" w:eastAsia="zh-CN" w:bidi="ar"/>
        </w:rPr>
        <w:t>Rolled Steel for General Structures</w:t>
      </w:r>
      <w:r>
        <w:rPr>
          <w:rFonts w:hint="default" w:ascii="Times New Roman" w:hAnsi="Times New Roman" w:eastAsia="宋体" w:cs="Times New Roman"/>
          <w:color w:val="auto"/>
          <w:kern w:val="2"/>
          <w:sz w:val="22"/>
          <w:szCs w:val="22"/>
          <w:lang w:val="en-US" w:eastAsia="zh-CN" w:bidi="ar"/>
        </w:rPr>
        <w:t>.</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16</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Specifications</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Hot-Rolled coils underlying each standard warrant shall consist of commodity of the same manufacturer, grade (designation), width, and thickness.</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17</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Packaging </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The packaging, mark, and certificate of quality of deliverable hot-rolled coils shall conform to the specifications of GB/T 3274-2017:</w:t>
      </w:r>
      <w:r>
        <w:rPr>
          <w:rFonts w:hint="default" w:ascii="Times New Roman" w:hAnsi="Times New Roman" w:eastAsia="宋体" w:cs="Times New Roman"/>
          <w:i/>
          <w:iCs/>
          <w:color w:val="auto"/>
          <w:kern w:val="2"/>
          <w:sz w:val="22"/>
          <w:szCs w:val="22"/>
          <w:lang w:val="en-US" w:eastAsia="zh-CN" w:bidi="ar"/>
        </w:rPr>
        <w:t xml:space="preserve"> Hot-Rolled Plates and Strips of Carbon Structural Steel or Low-Alloy Structural Steel</w:t>
      </w:r>
      <w:r>
        <w:rPr>
          <w:rFonts w:hint="default" w:ascii="Times New Roman" w:hAnsi="Times New Roman" w:eastAsia="宋体" w:cs="Times New Roman"/>
          <w:color w:val="auto"/>
          <w:kern w:val="2"/>
          <w:sz w:val="22"/>
          <w:szCs w:val="22"/>
          <w:lang w:val="en-US" w:eastAsia="zh-CN" w:bidi="ar"/>
        </w:rPr>
        <w:t xml:space="preserve"> or JIS G 3101-2024:</w:t>
      </w:r>
      <w:r>
        <w:rPr>
          <w:rFonts w:hint="default" w:ascii="Times New Roman" w:hAnsi="Times New Roman" w:eastAsia="宋体" w:cs="Times New Roman"/>
          <w:i/>
          <w:iCs/>
          <w:color w:val="auto"/>
          <w:kern w:val="2"/>
          <w:sz w:val="22"/>
          <w:szCs w:val="22"/>
          <w:lang w:val="en-US" w:eastAsia="zh-CN" w:bidi="ar"/>
        </w:rPr>
        <w:t xml:space="preserve"> Rolled Steel for General Structures</w:t>
      </w:r>
      <w:r>
        <w:rPr>
          <w:rFonts w:hint="default" w:ascii="Times New Roman" w:hAnsi="Times New Roman" w:eastAsia="宋体" w:cs="Times New Roman"/>
          <w:color w:val="auto"/>
          <w:kern w:val="2"/>
          <w:sz w:val="22"/>
          <w:szCs w:val="22"/>
          <w:lang w:val="en-US" w:eastAsia="zh-CN" w:bidi="ar"/>
        </w:rPr>
        <w:t xml:space="preserve"> and other relevant rules.</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18</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Required documentation for deliverable commodities</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 xml:space="preserve">The certificate of quality issued by the registered manufacturer shall be provided. </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19</w:t>
      </w:r>
      <w:r>
        <w:rPr>
          <w:rFonts w:hint="default" w:ascii="Times New Roman" w:hAnsi="Times New Roman" w:eastAsia="宋体" w:cs="Times New Roman"/>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Measuring and tolerance </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b/>
          <w:bCs/>
          <w:kern w:val="2"/>
          <w:sz w:val="22"/>
          <w:szCs w:val="22"/>
        </w:rPr>
      </w:pPr>
      <w:r>
        <w:rPr>
          <w:rFonts w:hint="default" w:ascii="Times New Roman" w:hAnsi="Times New Roman" w:eastAsia="宋体" w:cs="Times New Roman"/>
          <w:color w:val="auto"/>
          <w:kern w:val="2"/>
          <w:sz w:val="22"/>
          <w:szCs w:val="22"/>
          <w:lang w:val="en-US" w:eastAsia="zh-CN" w:bidi="ar"/>
        </w:rPr>
        <w:t>The deliverable</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hot-rolled coils shall be measured by actual weight. Difference between standard warrant weight and actual delivery weight shall not exceed plus or minus five percent (±5%). Pound difference shall not exceed plus or minus three-tenths of one percent (±0.3%).</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20</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Delivery unit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of a hot-rolled coil futures contract is three hundred (300) metric tons.</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21</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Delivery period of a hot-rolled coil futures contract is the two (2) consecutive business days immediately following the last trading day of the contract.</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22</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benchmark price for delivery settlement of a hot-rolled coil futures contract is its settlement price on the last trading day.</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23</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Delivery venue: the delivery warehouses and delivery factories of the Exchange, to be separately announced by the Exchange.</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24</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If standard warrants are used for an EFP and the EFP is settled via the Exchange, and a dispute over the quality of the deliverable commodities arises, the buyer shall submit a request for dispute resolution within twenty-five (25) days after the payment and the exchange of standard warrants, together with the quality assay report issued by a Designated Inspection Agency.</w:t>
      </w:r>
    </w:p>
    <w:p>
      <w:pPr>
        <w:keepNext w:val="0"/>
        <w:keepLines w:val="0"/>
        <w:widowControl/>
        <w:suppressLineNumbers w:val="0"/>
        <w:adjustRightInd w:val="0"/>
        <w:snapToGrid w:val="0"/>
        <w:spacing w:before="0" w:beforeAutospacing="0" w:after="240" w:afterLines="100" w:afterAutospacing="0" w:line="256"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SECTION 2 WAREHOUSE DELIVERY</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25</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validity period of each delivery set shall be three</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hundred and sixty (360) days after the date of production. The earliest date of production of hot-rolled coils underlying each warehouse standard warrant shall be taken as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the date of production on the</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 xml:space="preserve">standard warrant. </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26</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 xml:space="preserve">Deliverable hot-rolled coils underlying each warehouse standard warrant shall be stacked together. </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27</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After the physical delivery is completed, if the buyer has any dispute over the quality or quantity of the commodity (any hot-rolled coil in dispute shall remain in the delivery warehouse), the buyer shall submit a written request to the Exchange for dispute resolution before the fifteenth</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(15) day (including that day) of the month following the delivery month (in case that day falls on a public holiday, the date shall be extended to the first business day after the holiday), together with the quality assay report issued by a Designated Inspection Agency. The validity period for each batch of the delivered hot-rolled coil shall cover the last delivery day of that delivery. Even if the validity period expires before the final date for the submission of a request for dispute resolution, the seller shall be responsible for the delivered commodities in the event that they fail the quality assay.</w:t>
      </w:r>
    </w:p>
    <w:p>
      <w:pPr>
        <w:keepNext w:val="0"/>
        <w:keepLines w:val="0"/>
        <w:widowControl/>
        <w:suppressLineNumbers w:val="0"/>
        <w:adjustRightInd w:val="0"/>
        <w:snapToGrid w:val="0"/>
        <w:spacing w:before="0" w:beforeAutospacing="0" w:after="240" w:afterLines="100" w:afterAutospacing="0" w:line="256"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SECTION 3 FACTORY DELIVERY</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28</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An applicant for certification as a delivery factory whose net assets are less than RMB 100 million (100,000,000) yuan shall provide the Exchange with a letter of guarantee issued by a relevant organization.</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29</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The</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take-delivery locations for a factory delivery include places of production of the registered enterprises for the deliverable commodities of the Exchange’s relevant steel futures products, the Delivery Storage Facilities, and other</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take-delivery</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locations announced by the Exchange.</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30</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Factory take-delivery locations are classified into benchmark take-delivery locations and non-benchmark take-delivery locations.</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The list of benchmark take-delivery locations and the corresponding take-delivery premiums and discounts are as determined and announced by the Exchange.</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The list of non-benchmark take-delivery locations and the corresponding take-delivery premiums and discounts are as determined and adjusted by Factories and announced on the website of the Exchange.</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The take-delivery premium and discount of a take-delivery location shall be settled by the Factory and the owner holding the relevant factory standard warrants based on the weight indicated on those warrants.</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An owner holding factory standard warrants shall select and confirm the take-delivery location when submitting an application for taking delivery.</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31</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Application</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Before issuing any factory standard warrants, a Factory shall submit an issuance notice to the Exchange, specifying such information as the product, grade (designation), trademark, name of the carrying Member, name of the owner, and the quantity of standard warrants to be issued.</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32</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Validity period for the delivery of factory standard warrants</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auto"/>
          <w:kern w:val="2"/>
          <w:sz w:val="22"/>
          <w:szCs w:val="22"/>
          <w:lang w:val="en-US" w:eastAsia="zh-CN" w:bidi="ar"/>
        </w:rPr>
        <w:t>The validity period for the delivery of hot-rolled coil factory standard warrants shall be</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one hundred and eighty (180) days from the date of creation of such warrant.</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33</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Application for taking delivery</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shd w:val="clear" w:color="auto" w:fill="7F7F7F"/>
        </w:rPr>
      </w:pPr>
      <w:r>
        <w:rPr>
          <w:rFonts w:hint="default" w:ascii="Times New Roman" w:hAnsi="Times New Roman" w:eastAsia="宋体" w:cs="Times New Roman"/>
          <w:color w:val="000000"/>
          <w:kern w:val="2"/>
          <w:sz w:val="22"/>
          <w:szCs w:val="22"/>
          <w:lang w:val="en-US" w:eastAsia="zh-CN" w:bidi="ar"/>
        </w:rPr>
        <w:t>(i)</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An owner shall submit an application through the Standard Warrant Management System to the intended Factory</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in accordance with</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the minimum take-delivery quantity, the application cut-off date, and other requirements</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of the selected take-delivery location. The specific</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 xml:space="preserve">requirements will be separately announced by the Exchange. The application shall specify such information as the quantity of the commodity, the proposed take-delivery date, method, and plan (including daily quantity), as well as the identification certificate and telephone number of the delivery taker. </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(ii)</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The Factory will confirm the</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owner’s application within three (3) business days of receiving it after considering, among others,</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the owner’s proposed take-delivery date, specifications of the commodity, and corresponding manufacturer’s production plan.</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If</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the owner’s proposed take-delivery date coincides with that of other owners holding factory standard warrants and their total daily take-delivery quantity exceeds the daily shipment quantity of the Factory, the Factory may make an overall arrangement for shipment considering the order of submission of applications by owners, their take-delivery plans, and production plans, and within three (3) business days after the owner’s submission of application, provide the owner with a take-delivery time period to choose from and a corresponding shipment plan (including daily shipment quantity). If agreeing to the arrangement, the owner may choose one (1) day from the said period as the take-delivery date and confirm the shipment plan; otherwise, the owner shall negotiate with the Factory again to reach an agreement on the take-delivery date and the shipment plan.</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(iii)</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The Factory shall be exempt from any financial liability for any owner’s delay in taking delivery due to the</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take-deliveries made by multiple owners as described in the above sub-paragraph, provided that the Factory shall timely report such delay and its causes to the Exchange for written record.</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34</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Where an owner holding factory standard warrants for hot-rolled coils</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applies for taking delivery at the corresponding Factory, the commodity to be loaded out by the Factory shall have the following specifications (thickness) distribution:</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(i)</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If the take-delivery quantity is less than or equal to 900</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metric tons, the load-out commodity may have</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the same thickness.</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(ii)</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If the take-delivery quantity is between 900</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metric tons (exclusive) and 1,800 metric tons (inclusive), the load-out commodity shall have at least two</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(2) different thicknesses and the quantity for each thickness shall not exceed sixty percent</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(60%) of the total take-delivery quantity.</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(iii)</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If the take-delivery quantity is between 1,800</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metric tons (exclusive) and 3,600 metric tons (inclusive), the load-out commodity shall have at least three</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(3) different thicknesses and the quantity for each thickness shall not exceed forty-five percent</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(45%) of the total take-delivery quantity.</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(iv)</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If the take-delivery quantity is between 3,600</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metric tons (exclusive) and 7,200 metric tons (inclusive), the load-out commodity shall have at least four</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(4) different thicknesses and the quantity for each thickness shall not exceed thirty-five percent</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(35%) of the total take-delivery quantity.</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(v)</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If the take-delivery quantity is between 7,200</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metric tons (exclusive) and 12,000 metric tons (inclusive), the load-out commodity shall have at least five</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(5) different thicknesses and the quantity for each thickness shall not exceed twenty-five percent</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(25%) of the total take-delivery quantity.</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(vi)</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If the take-delivery quantity is more than 12,000</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metric tons, the load-out commodity shall have at least six (6) different thicknesses and the quantity for each thickness shall not exceed twenty percent</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(20%) of the total take-delivery quantity.</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35</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Production date</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The production date of load-out commodity shall be within three hundred</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and sixty (360) days before the take-delivery date agreed between the owner and the Factory. The hot-rolled coils to be loaded out under each factory standard warrant shall have production dates within a period of thirty (30) consecutive days.</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36</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The weight of load-out commodity shall be</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inspected</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by the Factory.</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37</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An owner shall take delivery at the Factory on the agreed take-delivery date according to the shipment plan. If the owner misses the agreed take-delivery date but takes delivery within fifteen (15) days (including the 15th day) thereafter or if the owner fails to take delivery according to the agreed daily take-delivery plan due to any reasons not attributable to the Factory, then the Factory shall still</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assume responsibility for commodity quality in accordance with relevant futures standards, and make an overall shipment plan based on the take-delivery quantities of all owners until all corresponding commodities are shipped.</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The</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 xml:space="preserve">owner shall pay an overdue fine to the Factory. </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Overdue fine = 2 yuan/metric ton per day × quantity of commodity that should have been taken × number of days overdue</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Any shipment delay caused by the owner shall be resolved by both parties through a separate agreement.</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38</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If an owner fails to take delivery at the Factory within fifteen (15) days (including the 15th day) after the agreed take-delivery date,</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which leads to the cancellation of its factory standard warrants, then the owner shall pay an overdue fine to the Factory, and the underlying commodities</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 xml:space="preserve">shall be converted into physical products, of which details for taking delivery shall be agreed upon by the parties through negotiation. </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Overdue fine = 35 yuan/metric ton × quantity of commodity that should have been taken</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39</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If an owner takes delivery on the agreed take-delivery date at the Factory, but the Factory fails to ship the commodity according to the agreed shipment plan but still completes the shipment within fifteen (15) days (including the 15th day) after the agreed take-delivery date, then the Factory shall pay compensation to the owner.</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Compensation = 50 yuan/metric ton × quantity of commodity that should have been shipped according to the daily shipment plan</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40</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If the Factory fails to complete the shipment within fifteen (15) days (including the 15th day) after the agreed take-delivery date, the owner may choose either of the followings:</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(i)</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On the 15th day after the agreed take-delivery date, the owner may notify the Factory that it will cease accepting any commodity that should have been shipped from the 16th day after the agreed take-delivery date, and the Factory shall refund the corresponding commodity payment and pay additional compensation to the owner.</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Refunded commodity payment and additional compensation = compensation settlement price × quantity of commodity that should have been shipped × 130%</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The compensation settlement price is the settlement price of the corresponding nearest month futures contract of the Exchange on the trading day preceding the 16th day after the agreed take-delivery date.</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(ii)</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If on the 15th day after the agreed take-delivery date, the owner fails to notify the Factory that it will cease accepting any commodity that should have been shipped, the parties shall negotiate the details on taking delivery of such commodity.</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方正仿宋简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41</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If a Factory commits any default described in Article 39 or 40, it shall pay compensation directly to the owner.</w:t>
      </w:r>
      <w:r>
        <w:rPr>
          <w:rFonts w:hint="eastAsia" w:ascii="Times New Roman" w:hAnsi="Times New Roman" w:eastAsia="方正仿宋简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 xml:space="preserve">If the Factory fails to make the payment in full or in part, the Exchange shall pay any deficient amount to the owner: </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(i)</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with the guarantees provided by the Factory; or</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(ii)</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with the Exchange’s funds and recourse to the Factory by such means as legal proceedings.</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42</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If an owner commits any default described in Article 37 or 38, it shall pay compensation directly to the Factory. If the owner fails to make the payment in full or in part, the Factory may recourse to the owner by such means as legal proceedings.</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方正仿宋简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43</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Any losses incurred to either a Factory or an owner due to any event described in Article 37, 38, 39 or</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 xml:space="preserve">40 shall be handled by both parties as agreed if they have reached a separate agreement. The agreement shall be filed in writing with the Exchange for record. </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方正仿宋简体" w:cs="Times New Roman"/>
          <w:color w:val="000000"/>
          <w:kern w:val="2"/>
          <w:sz w:val="22"/>
          <w:szCs w:val="22"/>
        </w:rPr>
      </w:pPr>
      <w:r>
        <w:rPr>
          <w:rFonts w:hint="default" w:ascii="Times New Roman" w:hAnsi="Times New Roman" w:eastAsia="宋体" w:cs="Times New Roman"/>
          <w:b/>
          <w:bCs/>
          <w:color w:val="000000"/>
          <w:kern w:val="2"/>
          <w:sz w:val="22"/>
          <w:szCs w:val="22"/>
          <w:lang w:val="en-US" w:eastAsia="zh-CN" w:bidi="ar"/>
        </w:rPr>
        <w:t>Article 44</w:t>
      </w:r>
      <w:r>
        <w:rPr>
          <w:rFonts w:hint="default" w:ascii="Times New Roman" w:hAnsi="Times New Roman" w:eastAsia="宋体" w:cs="Times New Roman"/>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Quality dispute resolution</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000000"/>
          <w:kern w:val="2"/>
          <w:sz w:val="22"/>
          <w:szCs w:val="22"/>
        </w:rPr>
      </w:pPr>
      <w:r>
        <w:rPr>
          <w:rFonts w:hint="default" w:ascii="Times New Roman" w:hAnsi="Times New Roman" w:eastAsia="宋体" w:cs="Times New Roman"/>
          <w:color w:val="000000"/>
          <w:kern w:val="2"/>
          <w:sz w:val="22"/>
          <w:szCs w:val="22"/>
          <w:lang w:val="en-US" w:eastAsia="zh-CN" w:bidi="ar"/>
        </w:rPr>
        <w:t>An owner who disputes the quality of any delivered commodity shall submit to the Exchange a written objection, accompanied by the quality inspection results issued by a Designated Inspection Agency, within ten (10) days following the physical</w:t>
      </w:r>
      <w:r>
        <w:rPr>
          <w:rFonts w:hint="eastAsia" w:ascii="Times New Roman" w:hAnsi="Times New Roman" w:eastAsia="宋体" w:cs="Times New Roman"/>
          <w:color w:val="000000"/>
          <w:kern w:val="2"/>
          <w:sz w:val="22"/>
          <w:szCs w:val="22"/>
          <w:lang w:val="en-US" w:eastAsia="zh-CN" w:bidi="ar"/>
        </w:rPr>
        <w:t xml:space="preserve"> </w:t>
      </w:r>
      <w:r>
        <w:rPr>
          <w:rFonts w:hint="default" w:ascii="Times New Roman" w:hAnsi="Times New Roman" w:eastAsia="宋体" w:cs="Times New Roman"/>
          <w:color w:val="000000"/>
          <w:kern w:val="2"/>
          <w:sz w:val="22"/>
          <w:szCs w:val="22"/>
          <w:lang w:val="en-US" w:eastAsia="zh-CN" w:bidi="ar"/>
        </w:rPr>
        <w:t>delivery; failing which, the owner shall be deemed to have no objection over the delivered commodity and the Exchange will no longer handle any objection regarding any commodity thus delivered.</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000000"/>
          <w:kern w:val="2"/>
          <w:sz w:val="22"/>
          <w:szCs w:val="22"/>
          <w:lang w:val="en-US" w:eastAsia="zh-CN" w:bidi="ar"/>
        </w:rPr>
        <w:t>Article 45</w:t>
      </w:r>
      <w:r>
        <w:rPr>
          <w:rFonts w:hint="default" w:ascii="Times New Roman" w:hAnsi="Times New Roman" w:eastAsia="宋体" w:cs="Times New Roman"/>
          <w:b/>
          <w:bCs/>
          <w:color w:val="000000"/>
          <w:kern w:val="2"/>
          <w:sz w:val="22"/>
          <w:szCs w:val="22"/>
          <w:lang w:val="en-US" w:eastAsia="zh-CN" w:bidi="ar"/>
        </w:rPr>
        <w:tab/>
      </w:r>
      <w:r>
        <w:rPr>
          <w:rFonts w:hint="default" w:ascii="Times New Roman" w:hAnsi="Times New Roman" w:eastAsia="宋体" w:cs="Times New Roman"/>
          <w:color w:val="000000"/>
          <w:kern w:val="2"/>
          <w:sz w:val="22"/>
          <w:szCs w:val="22"/>
          <w:lang w:val="en-US" w:eastAsia="zh-CN" w:bidi="ar"/>
        </w:rPr>
        <w:t>Upon the cancellation of a factory standard warrant, the Factory may apply to the Exchange for an adjustment of the amount of guarantees it is required to provide.</w:t>
      </w:r>
    </w:p>
    <w:p>
      <w:pPr>
        <w:keepNext w:val="0"/>
        <w:keepLines w:val="0"/>
        <w:widowControl/>
        <w:suppressLineNumbers w:val="0"/>
        <w:adjustRightInd w:val="0"/>
        <w:snapToGrid w:val="0"/>
        <w:spacing w:before="360" w:beforeLines="150" w:beforeAutospacing="0" w:after="240" w:afterLines="100" w:afterAutospacing="0" w:line="256" w:lineRule="auto"/>
        <w:ind w:left="0" w:right="0"/>
        <w:jc w:val="center"/>
        <w:rPr>
          <w:rFonts w:hint="default" w:ascii="Times New Roman" w:hAnsi="Times New Roman" w:eastAsia="宋体" w:cs="Times New Roman"/>
          <w:b/>
          <w:bCs w:val="0"/>
          <w:kern w:val="2"/>
          <w:sz w:val="22"/>
          <w:szCs w:val="22"/>
        </w:rPr>
      </w:pPr>
      <w:r>
        <w:rPr>
          <w:rFonts w:hint="default" w:ascii="Times New Roman" w:hAnsi="Times New Roman" w:eastAsia="宋体" w:cs="Times New Roman"/>
          <w:b/>
          <w:bCs w:val="0"/>
          <w:color w:val="auto"/>
          <w:kern w:val="2"/>
          <w:sz w:val="22"/>
          <w:szCs w:val="22"/>
          <w:lang w:val="en-US" w:eastAsia="zh-CN" w:bidi="ar"/>
        </w:rPr>
        <w:t>CHAPTER 4</w:t>
      </w:r>
      <w:r>
        <w:rPr>
          <w:rFonts w:hint="default" w:ascii="Times New Roman" w:hAnsi="Times New Roman" w:eastAsia="宋体" w:cs="Times New Roman"/>
          <w:b/>
          <w:bCs w:val="0"/>
          <w:color w:val="auto"/>
          <w:kern w:val="2"/>
          <w:sz w:val="22"/>
          <w:szCs w:val="22"/>
          <w:lang w:val="en-US" w:eastAsia="zh-CN" w:bidi="ar"/>
        </w:rPr>
        <w:tab/>
      </w:r>
      <w:r>
        <w:rPr>
          <w:rFonts w:hint="default" w:ascii="Times New Roman" w:hAnsi="Times New Roman" w:eastAsia="宋体" w:cs="Times New Roman"/>
          <w:b/>
          <w:bCs w:val="0"/>
          <w:color w:val="auto"/>
          <w:kern w:val="2"/>
          <w:sz w:val="22"/>
          <w:szCs w:val="22"/>
          <w:lang w:val="en-US" w:eastAsia="zh-CN" w:bidi="ar"/>
        </w:rPr>
        <w:t>RISK MANAGEMENT</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46</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minimum trading margin</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for a hot-rolled coil futures contract is 4%.</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47</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stage-based trading margin rates</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for hot-rolled coil futures are as follows:</w:t>
      </w:r>
    </w:p>
    <w:tbl>
      <w:tblPr>
        <w:tblStyle w:val="3"/>
        <w:tblW w:w="5000" w:type="pct"/>
        <w:tblInd w:w="11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61" w:type="dxa"/>
          <w:left w:w="108" w:type="dxa"/>
          <w:bottom w:w="0" w:type="dxa"/>
          <w:right w:w="24" w:type="dxa"/>
        </w:tblCellMar>
      </w:tblPr>
      <w:tblGrid>
        <w:gridCol w:w="5817"/>
        <w:gridCol w:w="26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4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
                <w:bCs w:val="0"/>
                <w:kern w:val="2"/>
                <w:sz w:val="20"/>
                <w:szCs w:val="20"/>
              </w:rPr>
            </w:pPr>
            <w:r>
              <w:rPr>
                <w:rFonts w:hint="default" w:ascii="Times New Roman" w:hAnsi="Times New Roman" w:eastAsia="宋体" w:cs="Times New Roman"/>
                <w:b/>
                <w:bCs w:val="0"/>
                <w:color w:val="auto"/>
                <w:kern w:val="2"/>
                <w:sz w:val="20"/>
                <w:szCs w:val="20"/>
                <w:lang w:val="en-US" w:eastAsia="zh-CN" w:bidi="ar"/>
              </w:rPr>
              <w:t>Stage of Trading</w:t>
            </w:r>
          </w:p>
        </w:tc>
        <w:tc>
          <w:tcPr>
            <w:tcW w:w="1553"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
                <w:bCs w:val="0"/>
                <w:kern w:val="2"/>
                <w:sz w:val="20"/>
                <w:szCs w:val="20"/>
              </w:rPr>
            </w:pPr>
            <w:r>
              <w:rPr>
                <w:rFonts w:hint="default" w:ascii="Times New Roman" w:hAnsi="Times New Roman" w:eastAsia="宋体" w:cs="Times New Roman"/>
                <w:b/>
                <w:bCs w:val="0"/>
                <w:color w:val="auto"/>
                <w:kern w:val="2"/>
                <w:sz w:val="20"/>
                <w:szCs w:val="20"/>
                <w:lang w:val="en-US" w:eastAsia="zh-CN" w:bidi="ar"/>
              </w:rPr>
              <w:t>Trading Margin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4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kern w:val="2"/>
                <w:sz w:val="20"/>
                <w:szCs w:val="20"/>
              </w:rPr>
            </w:pPr>
            <w:r>
              <w:rPr>
                <w:rFonts w:hint="default" w:ascii="Times New Roman" w:hAnsi="Times New Roman" w:eastAsia="宋体" w:cs="Times New Roman"/>
                <w:color w:val="auto"/>
                <w:kern w:val="2"/>
                <w:sz w:val="20"/>
                <w:szCs w:val="20"/>
                <w:lang w:val="en-US" w:eastAsia="zh-CN" w:bidi="ar"/>
              </w:rPr>
              <w:t>As of listing</w:t>
            </w:r>
          </w:p>
        </w:tc>
        <w:tc>
          <w:tcPr>
            <w:tcW w:w="1553"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kern w:val="2"/>
                <w:sz w:val="20"/>
                <w:szCs w:val="20"/>
              </w:rPr>
            </w:pPr>
            <w:r>
              <w:rPr>
                <w:rFonts w:hint="default" w:ascii="Times New Roman" w:hAnsi="Times New Roman" w:eastAsia="宋体" w:cs="Times New Roman"/>
                <w:color w:val="auto"/>
                <w:kern w:val="2"/>
                <w:sz w:val="20"/>
                <w:szCs w:val="20"/>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4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kern w:val="2"/>
                <w:sz w:val="20"/>
                <w:szCs w:val="20"/>
              </w:rPr>
            </w:pPr>
            <w:r>
              <w:rPr>
                <w:rFonts w:hint="default" w:ascii="Times New Roman" w:hAnsi="Times New Roman" w:eastAsia="宋体" w:cs="Times New Roman"/>
                <w:color w:val="auto"/>
                <w:kern w:val="2"/>
                <w:sz w:val="20"/>
                <w:szCs w:val="20"/>
                <w:lang w:val="en-US" w:eastAsia="zh-CN" w:bidi="ar"/>
              </w:rPr>
              <w:t>As of the first trading day of the month prior to the delivery month</w:t>
            </w:r>
          </w:p>
        </w:tc>
        <w:tc>
          <w:tcPr>
            <w:tcW w:w="1553"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kern w:val="2"/>
                <w:sz w:val="20"/>
                <w:szCs w:val="20"/>
              </w:rPr>
            </w:pPr>
            <w:r>
              <w:rPr>
                <w:rFonts w:hint="default" w:ascii="Times New Roman" w:hAnsi="Times New Roman" w:eastAsia="宋体" w:cs="Times New Roman"/>
                <w:color w:val="auto"/>
                <w:kern w:val="2"/>
                <w:sz w:val="20"/>
                <w:szCs w:val="20"/>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4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kern w:val="2"/>
                <w:sz w:val="20"/>
                <w:szCs w:val="20"/>
              </w:rPr>
            </w:pPr>
            <w:r>
              <w:rPr>
                <w:rFonts w:hint="default" w:ascii="Times New Roman" w:hAnsi="Times New Roman" w:eastAsia="宋体" w:cs="Times New Roman"/>
                <w:color w:val="auto"/>
                <w:kern w:val="2"/>
                <w:sz w:val="20"/>
                <w:szCs w:val="20"/>
                <w:lang w:val="en-US" w:eastAsia="zh-CN" w:bidi="ar"/>
              </w:rPr>
              <w:t>As of the first trading day of the delivery month</w:t>
            </w:r>
          </w:p>
        </w:tc>
        <w:tc>
          <w:tcPr>
            <w:tcW w:w="1553"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kern w:val="2"/>
                <w:sz w:val="20"/>
                <w:szCs w:val="20"/>
              </w:rPr>
            </w:pPr>
            <w:r>
              <w:rPr>
                <w:rFonts w:hint="default" w:ascii="Times New Roman" w:hAnsi="Times New Roman" w:eastAsia="宋体" w:cs="Times New Roman"/>
                <w:color w:val="auto"/>
                <w:kern w:val="2"/>
                <w:sz w:val="20"/>
                <w:szCs w:val="20"/>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44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kern w:val="2"/>
                <w:sz w:val="20"/>
                <w:szCs w:val="20"/>
              </w:rPr>
            </w:pPr>
            <w:r>
              <w:rPr>
                <w:rFonts w:hint="default" w:ascii="Times New Roman" w:hAnsi="Times New Roman" w:eastAsia="宋体" w:cs="Times New Roman"/>
                <w:color w:val="auto"/>
                <w:kern w:val="2"/>
                <w:sz w:val="20"/>
                <w:szCs w:val="20"/>
                <w:lang w:val="en-US" w:eastAsia="zh-CN" w:bidi="ar"/>
              </w:rPr>
              <w:t>As of the second trading day prior to the last trading day</w:t>
            </w:r>
          </w:p>
        </w:tc>
        <w:tc>
          <w:tcPr>
            <w:tcW w:w="1553"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kern w:val="2"/>
                <w:sz w:val="20"/>
                <w:szCs w:val="20"/>
              </w:rPr>
            </w:pPr>
            <w:r>
              <w:rPr>
                <w:rFonts w:hint="default" w:ascii="Times New Roman" w:hAnsi="Times New Roman" w:eastAsia="宋体" w:cs="Times New Roman"/>
                <w:color w:val="auto"/>
                <w:kern w:val="2"/>
                <w:sz w:val="20"/>
                <w:szCs w:val="20"/>
                <w:lang w:val="en-US" w:eastAsia="zh-CN" w:bidi="ar"/>
              </w:rPr>
              <w:t>20%</w:t>
            </w:r>
          </w:p>
        </w:tc>
      </w:tr>
    </w:tbl>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b/>
          <w:bCs/>
          <w:kern w:val="2"/>
          <w:sz w:val="22"/>
          <w:szCs w:val="22"/>
        </w:rPr>
      </w:pPr>
      <w:r>
        <w:rPr>
          <w:rFonts w:hint="default" w:ascii="Times New Roman" w:hAnsi="Times New Roman" w:eastAsia="宋体" w:cs="Times New Roman"/>
          <w:b/>
          <w:bCs/>
          <w:color w:val="auto"/>
          <w:kern w:val="2"/>
          <w:sz w:val="22"/>
          <w:szCs w:val="22"/>
          <w:lang w:val="en-US" w:eastAsia="zh-CN" w:bidi="ar"/>
        </w:rPr>
        <w:t xml:space="preserve"> </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b/>
          <w:bCs/>
          <w:color w:val="auto"/>
          <w:kern w:val="2"/>
          <w:sz w:val="22"/>
          <w:szCs w:val="22"/>
          <w:lang w:val="en-US" w:eastAsia="zh-CN" w:bidi="ar"/>
        </w:rPr>
        <w:t>Article 48</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color w:val="auto"/>
          <w:kern w:val="2"/>
          <w:sz w:val="22"/>
          <w:szCs w:val="22"/>
          <w:lang w:val="en-US" w:eastAsia="zh-CN" w:bidi="ar"/>
        </w:rPr>
        <w:t>The range of price limit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for a</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hot-rolled coil futures contract is within ±3% of its settlement price of the preceding trading day.</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val="0"/>
          <w:color w:val="auto"/>
          <w:kern w:val="2"/>
          <w:sz w:val="22"/>
          <w:szCs w:val="22"/>
          <w:lang w:val="en-US" w:eastAsia="zh-CN" w:bidi="ar"/>
        </w:rPr>
        <w:t>Article 49</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Percentage-based Position Limit and </w:t>
      </w:r>
      <w:r>
        <w:rPr>
          <w:rFonts w:hint="default" w:ascii="Times New Roman" w:hAnsi="Times New Roman" w:eastAsia="宋体" w:cs="Times New Roman"/>
          <w:color w:val="auto"/>
          <w:kern w:val="2"/>
          <w:sz w:val="22"/>
          <w:szCs w:val="22"/>
          <w:lang w:val="en-US" w:eastAsia="zh-CN" w:bidi="ar"/>
        </w:rPr>
        <w:t>fixed-amount Position</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Limit</w:t>
      </w:r>
      <w:r>
        <w:rPr>
          <w:rFonts w:hint="default" w:ascii="Times New Roman" w:hAnsi="Times New Roman" w:eastAsia="宋体" w:cs="Times New Roman"/>
          <w:bCs/>
          <w:color w:val="auto"/>
          <w:kern w:val="2"/>
          <w:sz w:val="22"/>
          <w:szCs w:val="22"/>
          <w:lang w:val="en-US" w:eastAsia="zh-CN" w:bidi="ar"/>
        </w:rPr>
        <w:t xml:space="preserve"> for each</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hot-rolled coil futures contract at different stages of trading are as follows</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(in lots):</w:t>
      </w:r>
    </w:p>
    <w:tbl>
      <w:tblPr>
        <w:tblStyle w:val="3"/>
        <w:tblW w:w="4999"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1139"/>
        <w:gridCol w:w="1689"/>
        <w:gridCol w:w="1059"/>
        <w:gridCol w:w="950"/>
        <w:gridCol w:w="983"/>
        <w:gridCol w:w="796"/>
        <w:gridCol w:w="984"/>
        <w:gridCol w:w="76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681" w:type="pct"/>
            <w:vMerge w:val="restart"/>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p>
        </w:tc>
        <w:tc>
          <w:tcPr>
            <w:tcW w:w="2211" w:type="pct"/>
            <w:gridSpan w:val="3"/>
            <w:tcBorders>
              <w:top w:val="single" w:color="auto" w:sz="6" w:space="0"/>
              <w:left w:val="nil"/>
              <w:bottom w:val="single" w:color="auto" w:sz="6" w:space="0"/>
              <w:right w:val="single" w:color="auto" w:sz="4"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color w:val="auto"/>
                <w:kern w:val="2"/>
                <w:sz w:val="20"/>
                <w:szCs w:val="20"/>
                <w:lang w:val="en-US" w:eastAsia="zh-CN" w:bidi="ar"/>
              </w:rPr>
              <w:t>From the date of listing to the last trading day of the second month prior to the delivery month</w:t>
            </w:r>
          </w:p>
        </w:tc>
        <w:tc>
          <w:tcPr>
            <w:tcW w:w="1064"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color w:val="auto"/>
                <w:kern w:val="2"/>
                <w:sz w:val="20"/>
                <w:szCs w:val="20"/>
                <w:lang w:val="en-US" w:eastAsia="zh-CN" w:bidi="ar"/>
              </w:rPr>
              <w:t>First month prior to the delivery month</w:t>
            </w:r>
          </w:p>
        </w:tc>
        <w:tc>
          <w:tcPr>
            <w:tcW w:w="1042"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bCs/>
                <w:color w:val="auto"/>
                <w:kern w:val="2"/>
                <w:sz w:val="20"/>
                <w:szCs w:val="20"/>
                <w:lang w:val="en-US" w:eastAsia="zh-CN" w:bidi="ar"/>
              </w:rPr>
              <w:t>Delivery month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681" w:type="pct"/>
            <w:vMerge w:val="continue"/>
            <w:tcBorders>
              <w:top w:val="single" w:color="auto" w:sz="6" w:space="0"/>
              <w:left w:val="single" w:color="auto" w:sz="6" w:space="0"/>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1010" w:type="pct"/>
            <w:vMerge w:val="restart"/>
            <w:tcBorders>
              <w:top w:val="nil"/>
              <w:left w:val="nil"/>
              <w:bottom w:val="single" w:color="auto" w:sz="6" w:space="0"/>
              <w:right w:val="single" w:color="auto" w:sz="4"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kern w:val="2"/>
                <w:sz w:val="20"/>
                <w:szCs w:val="20"/>
              </w:rPr>
            </w:pPr>
            <w:r>
              <w:rPr>
                <w:rFonts w:hint="default" w:ascii="Times New Roman" w:hAnsi="Times New Roman" w:eastAsia="宋体" w:cs="Times New Roman"/>
                <w:color w:val="auto"/>
                <w:kern w:val="2"/>
                <w:sz w:val="20"/>
                <w:szCs w:val="20"/>
                <w:lang w:val="en-US" w:eastAsia="zh-CN" w:bidi="ar"/>
              </w:rPr>
              <w:t>Total open</w:t>
            </w:r>
          </w:p>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color w:val="auto"/>
                <w:kern w:val="2"/>
                <w:sz w:val="20"/>
                <w:szCs w:val="20"/>
                <w:lang w:val="en-US" w:eastAsia="zh-CN" w:bidi="ar"/>
              </w:rPr>
              <w:t>interest</w:t>
            </w:r>
          </w:p>
        </w:tc>
        <w:tc>
          <w:tcPr>
            <w:tcW w:w="1201" w:type="pct"/>
            <w:gridSpan w:val="2"/>
            <w:tcBorders>
              <w:top w:val="single" w:color="auto" w:sz="6" w:space="0"/>
              <w:left w:val="nil"/>
              <w:bottom w:val="single" w:color="auto" w:sz="6" w:space="0"/>
              <w:right w:val="single" w:color="auto" w:sz="4"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kern w:val="2"/>
                <w:sz w:val="20"/>
                <w:szCs w:val="20"/>
              </w:rPr>
            </w:pPr>
            <w:r>
              <w:rPr>
                <w:rFonts w:hint="default" w:ascii="Times New Roman" w:hAnsi="Times New Roman" w:eastAsia="宋体" w:cs="Times New Roman"/>
                <w:bCs/>
                <w:color w:val="auto"/>
                <w:kern w:val="2"/>
                <w:sz w:val="20"/>
                <w:szCs w:val="20"/>
                <w:lang w:val="en-US" w:eastAsia="zh-CN" w:bidi="ar"/>
              </w:rPr>
              <w:t xml:space="preserve">Percentage-based Position Limit (%) and </w:t>
            </w:r>
            <w:r>
              <w:rPr>
                <w:rFonts w:hint="default" w:ascii="Times New Roman" w:hAnsi="Times New Roman" w:eastAsia="宋体" w:cs="Times New Roman"/>
                <w:color w:val="auto"/>
                <w:kern w:val="2"/>
                <w:sz w:val="20"/>
                <w:szCs w:val="20"/>
                <w:lang w:val="en-US" w:eastAsia="zh-CN" w:bidi="ar"/>
              </w:rPr>
              <w:t>fixed-amount Position Limit (in lots)</w:t>
            </w:r>
          </w:p>
        </w:tc>
        <w:tc>
          <w:tcPr>
            <w:tcW w:w="1064"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color w:val="auto"/>
                <w:kern w:val="2"/>
                <w:sz w:val="20"/>
                <w:szCs w:val="20"/>
                <w:lang w:val="en-US" w:eastAsia="zh-CN" w:bidi="ar"/>
              </w:rPr>
              <w:t>Fixed-amount Position Limit (in lots)</w:t>
            </w:r>
          </w:p>
        </w:tc>
        <w:tc>
          <w:tcPr>
            <w:tcW w:w="1042"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color w:val="auto"/>
                <w:kern w:val="2"/>
                <w:sz w:val="20"/>
                <w:szCs w:val="20"/>
                <w:lang w:val="en-US" w:eastAsia="zh-CN" w:bidi="ar"/>
              </w:rPr>
              <w:t>Fixed-amount Position Limit (in lots)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681" w:type="pct"/>
            <w:vMerge w:val="continue"/>
            <w:tcBorders>
              <w:top w:val="single" w:color="auto" w:sz="6" w:space="0"/>
              <w:left w:val="single" w:color="auto" w:sz="6" w:space="0"/>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1010" w:type="pct"/>
            <w:vMerge w:val="continue"/>
            <w:tcBorders>
              <w:top w:val="nil"/>
              <w:left w:val="nil"/>
              <w:bottom w:val="single" w:color="auto" w:sz="6" w:space="0"/>
              <w:right w:val="single" w:color="auto" w:sz="4" w:space="0"/>
            </w:tcBorders>
            <w:noWrap w:val="0"/>
            <w:vAlign w:val="center"/>
          </w:tcPr>
          <w:p>
            <w:pPr>
              <w:rPr>
                <w:rFonts w:hint="default" w:ascii="Times New Roman" w:hAnsi="Times New Roman" w:cs="Times New Roman"/>
                <w:sz w:val="20"/>
                <w:szCs w:val="20"/>
              </w:rPr>
            </w:pPr>
          </w:p>
        </w:tc>
        <w:tc>
          <w:tcPr>
            <w:tcW w:w="633"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color w:val="auto"/>
                <w:kern w:val="2"/>
                <w:sz w:val="20"/>
                <w:szCs w:val="20"/>
                <w:lang w:val="en-US" w:eastAsia="zh-CN" w:bidi="ar"/>
              </w:rPr>
              <w:t>Non-FF Member</w:t>
            </w:r>
          </w:p>
        </w:tc>
        <w:tc>
          <w:tcPr>
            <w:tcW w:w="568"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bCs/>
                <w:color w:val="auto"/>
                <w:kern w:val="2"/>
                <w:sz w:val="20"/>
                <w:szCs w:val="20"/>
                <w:lang w:val="en-US" w:eastAsia="zh-CN" w:bidi="ar"/>
              </w:rPr>
              <w:t>Client</w:t>
            </w:r>
          </w:p>
        </w:tc>
        <w:tc>
          <w:tcPr>
            <w:tcW w:w="588" w:type="pct"/>
            <w:tcBorders>
              <w:top w:val="single" w:color="auto" w:sz="6" w:space="0"/>
              <w:left w:val="single" w:color="auto" w:sz="4"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color w:val="auto"/>
                <w:kern w:val="2"/>
                <w:sz w:val="20"/>
                <w:szCs w:val="20"/>
                <w:lang w:val="en-US" w:eastAsia="zh-CN" w:bidi="ar"/>
              </w:rPr>
              <w:t>Non-FF Member</w:t>
            </w:r>
          </w:p>
        </w:tc>
        <w:tc>
          <w:tcPr>
            <w:tcW w:w="476"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bCs/>
                <w:color w:val="auto"/>
                <w:kern w:val="2"/>
                <w:sz w:val="20"/>
                <w:szCs w:val="20"/>
                <w:lang w:val="en-US" w:eastAsia="zh-CN" w:bidi="ar"/>
              </w:rPr>
              <w:t>Client</w:t>
            </w:r>
          </w:p>
        </w:tc>
        <w:tc>
          <w:tcPr>
            <w:tcW w:w="588" w:type="pct"/>
            <w:tcBorders>
              <w:top w:val="single" w:color="auto" w:sz="6" w:space="0"/>
              <w:left w:val="single" w:color="auto" w:sz="4"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color w:val="auto"/>
                <w:kern w:val="2"/>
                <w:sz w:val="20"/>
                <w:szCs w:val="20"/>
                <w:lang w:val="en-US" w:eastAsia="zh-CN" w:bidi="ar"/>
              </w:rPr>
              <w:t>Non-FF Member</w:t>
            </w:r>
          </w:p>
        </w:tc>
        <w:tc>
          <w:tcPr>
            <w:tcW w:w="454"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bCs/>
                <w:color w:val="auto"/>
                <w:kern w:val="2"/>
                <w:sz w:val="20"/>
                <w:szCs w:val="20"/>
                <w:lang w:val="en-US" w:eastAsia="zh-CN" w:bidi="ar"/>
              </w:rPr>
              <w:t>Client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681" w:type="pct"/>
            <w:vMerge w:val="restart"/>
            <w:tcBorders>
              <w:top w:val="nil"/>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bCs/>
                <w:color w:val="auto"/>
                <w:kern w:val="2"/>
                <w:sz w:val="20"/>
                <w:szCs w:val="20"/>
                <w:lang w:val="en-US" w:eastAsia="zh-CN" w:bidi="ar"/>
              </w:rPr>
              <w:t>Hot-rolled coil</w:t>
            </w:r>
          </w:p>
        </w:tc>
        <w:tc>
          <w:tcPr>
            <w:tcW w:w="1010" w:type="pct"/>
            <w:tcBorders>
              <w:top w:val="single" w:color="auto" w:sz="6" w:space="0"/>
              <w:left w:val="nil"/>
              <w:bottom w:val="single" w:color="auto" w:sz="6" w:space="0"/>
              <w:right w:val="single" w:color="auto" w:sz="4"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bCs/>
                <w:color w:val="auto"/>
                <w:kern w:val="2"/>
                <w:sz w:val="20"/>
                <w:szCs w:val="20"/>
                <w:lang w:val="en-US" w:eastAsia="zh-CN" w:bidi="ar"/>
              </w:rPr>
              <w:t>≥ 1,200,000</w:t>
            </w:r>
          </w:p>
        </w:tc>
        <w:tc>
          <w:tcPr>
            <w:tcW w:w="633"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bCs/>
                <w:color w:val="auto"/>
                <w:kern w:val="2"/>
                <w:sz w:val="20"/>
                <w:szCs w:val="20"/>
                <w:lang w:val="en-US" w:eastAsia="zh-CN" w:bidi="ar"/>
              </w:rPr>
              <w:t>10</w:t>
            </w:r>
          </w:p>
        </w:tc>
        <w:tc>
          <w:tcPr>
            <w:tcW w:w="568"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bCs/>
                <w:color w:val="auto"/>
                <w:kern w:val="2"/>
                <w:sz w:val="20"/>
                <w:szCs w:val="20"/>
                <w:lang w:val="en-US" w:eastAsia="zh-CN" w:bidi="ar"/>
              </w:rPr>
              <w:t>10</w:t>
            </w:r>
          </w:p>
        </w:tc>
        <w:tc>
          <w:tcPr>
            <w:tcW w:w="588" w:type="pct"/>
            <w:vMerge w:val="restart"/>
            <w:tcBorders>
              <w:top w:val="nil"/>
              <w:left w:val="single" w:color="auto" w:sz="4"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bCs/>
                <w:color w:val="auto"/>
                <w:kern w:val="2"/>
                <w:sz w:val="20"/>
                <w:szCs w:val="20"/>
                <w:lang w:val="en-US" w:eastAsia="zh-CN" w:bidi="ar"/>
              </w:rPr>
              <w:t>9,000</w:t>
            </w:r>
          </w:p>
        </w:tc>
        <w:tc>
          <w:tcPr>
            <w:tcW w:w="476" w:type="pct"/>
            <w:vMerge w:val="restart"/>
            <w:tcBorders>
              <w:top w:val="nil"/>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bCs/>
                <w:color w:val="auto"/>
                <w:kern w:val="2"/>
                <w:sz w:val="20"/>
                <w:szCs w:val="20"/>
                <w:lang w:val="en-US" w:eastAsia="zh-CN" w:bidi="ar"/>
              </w:rPr>
              <w:t>9,000</w:t>
            </w:r>
          </w:p>
        </w:tc>
        <w:tc>
          <w:tcPr>
            <w:tcW w:w="588" w:type="pct"/>
            <w:vMerge w:val="restart"/>
            <w:tcBorders>
              <w:top w:val="nil"/>
              <w:left w:val="single" w:color="auto" w:sz="4"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bCs/>
                <w:color w:val="auto"/>
                <w:kern w:val="2"/>
                <w:sz w:val="20"/>
                <w:szCs w:val="20"/>
                <w:lang w:val="en-US" w:eastAsia="zh-CN" w:bidi="ar"/>
              </w:rPr>
              <w:t>1,800</w:t>
            </w:r>
          </w:p>
        </w:tc>
        <w:tc>
          <w:tcPr>
            <w:tcW w:w="454" w:type="pct"/>
            <w:vMerge w:val="restart"/>
            <w:tcBorders>
              <w:top w:val="nil"/>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bCs/>
                <w:color w:val="auto"/>
                <w:kern w:val="2"/>
                <w:sz w:val="20"/>
                <w:szCs w:val="20"/>
                <w:lang w:val="en-US" w:eastAsia="zh-CN" w:bidi="ar"/>
              </w:rPr>
              <w:t>1,800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681" w:type="pct"/>
            <w:vMerge w:val="continue"/>
            <w:tcBorders>
              <w:top w:val="nil"/>
              <w:left w:val="single" w:color="auto" w:sz="6" w:space="0"/>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1010" w:type="pct"/>
            <w:tcBorders>
              <w:top w:val="single" w:color="auto" w:sz="6" w:space="0"/>
              <w:left w:val="nil"/>
              <w:bottom w:val="single" w:color="auto" w:sz="6" w:space="0"/>
              <w:right w:val="single" w:color="auto" w:sz="4"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bCs/>
                <w:color w:val="auto"/>
                <w:kern w:val="2"/>
                <w:sz w:val="20"/>
                <w:szCs w:val="20"/>
                <w:lang w:val="en-US" w:eastAsia="zh-CN" w:bidi="ar"/>
              </w:rPr>
              <w:t>&lt; 1,200,000</w:t>
            </w:r>
          </w:p>
        </w:tc>
        <w:tc>
          <w:tcPr>
            <w:tcW w:w="633"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bCs/>
                <w:color w:val="auto"/>
                <w:kern w:val="2"/>
                <w:sz w:val="20"/>
                <w:szCs w:val="20"/>
                <w:lang w:val="en-US" w:eastAsia="zh-CN" w:bidi="ar"/>
              </w:rPr>
              <w:t>120,000</w:t>
            </w:r>
          </w:p>
        </w:tc>
        <w:tc>
          <w:tcPr>
            <w:tcW w:w="568"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60" w:beforeAutospacing="0" w:after="60" w:afterAutospacing="0" w:line="256" w:lineRule="auto"/>
              <w:ind w:left="0" w:right="0"/>
              <w:jc w:val="center"/>
              <w:rPr>
                <w:rFonts w:hint="default" w:ascii="Times New Roman" w:hAnsi="Times New Roman" w:eastAsia="宋体" w:cs="Times New Roman"/>
                <w:bCs/>
                <w:kern w:val="2"/>
                <w:sz w:val="20"/>
                <w:szCs w:val="20"/>
              </w:rPr>
            </w:pPr>
            <w:r>
              <w:rPr>
                <w:rFonts w:hint="default" w:ascii="Times New Roman" w:hAnsi="Times New Roman" w:eastAsia="宋体" w:cs="Times New Roman"/>
                <w:bCs/>
                <w:color w:val="auto"/>
                <w:kern w:val="2"/>
                <w:sz w:val="20"/>
                <w:szCs w:val="20"/>
                <w:lang w:val="en-US" w:eastAsia="zh-CN" w:bidi="ar"/>
              </w:rPr>
              <w:t>120,000</w:t>
            </w:r>
          </w:p>
        </w:tc>
        <w:tc>
          <w:tcPr>
            <w:tcW w:w="588" w:type="pct"/>
            <w:vMerge w:val="continue"/>
            <w:tcBorders>
              <w:top w:val="nil"/>
              <w:left w:val="single" w:color="auto" w:sz="4" w:space="0"/>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476" w:type="pct"/>
            <w:vMerge w:val="continue"/>
            <w:tcBorders>
              <w:top w:val="nil"/>
              <w:left w:val="nil"/>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588" w:type="pct"/>
            <w:vMerge w:val="continue"/>
            <w:tcBorders>
              <w:top w:val="nil"/>
              <w:left w:val="single" w:color="auto" w:sz="4" w:space="0"/>
              <w:bottom w:val="single" w:color="auto" w:sz="6" w:space="0"/>
              <w:right w:val="single" w:color="auto" w:sz="6" w:space="0"/>
            </w:tcBorders>
            <w:noWrap w:val="0"/>
            <w:vAlign w:val="center"/>
          </w:tcPr>
          <w:p>
            <w:pPr>
              <w:rPr>
                <w:rFonts w:hint="default" w:ascii="Times New Roman" w:hAnsi="Times New Roman" w:cs="Times New Roman"/>
                <w:sz w:val="20"/>
                <w:szCs w:val="20"/>
              </w:rPr>
            </w:pPr>
          </w:p>
        </w:tc>
        <w:tc>
          <w:tcPr>
            <w:tcW w:w="454" w:type="pct"/>
            <w:vMerge w:val="continue"/>
            <w:tcBorders>
              <w:top w:val="nil"/>
              <w:left w:val="nil"/>
              <w:bottom w:val="single" w:color="auto" w:sz="6" w:space="0"/>
              <w:right w:val="single" w:color="auto" w:sz="6" w:space="0"/>
            </w:tcBorders>
            <w:noWrap w:val="0"/>
            <w:vAlign w:val="center"/>
          </w:tcPr>
          <w:p>
            <w:pPr>
              <w:rPr>
                <w:rFonts w:hint="default" w:ascii="Times New Roman" w:hAnsi="Times New Roman" w:cs="Times New Roman"/>
                <w:sz w:val="20"/>
                <w:szCs w:val="20"/>
              </w:rPr>
            </w:pPr>
          </w:p>
        </w:tc>
      </w:tr>
    </w:tbl>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kern w:val="2"/>
          <w:sz w:val="22"/>
          <w:szCs w:val="22"/>
        </w:rPr>
      </w:pPr>
      <w:r>
        <w:rPr>
          <w:rFonts w:hint="default" w:ascii="Times New Roman" w:hAnsi="Times New Roman" w:eastAsia="宋体" w:cs="Times New Roman"/>
          <w:color w:val="auto"/>
          <w:kern w:val="2"/>
          <w:sz w:val="22"/>
          <w:szCs w:val="22"/>
          <w:lang w:val="en-US" w:eastAsia="zh-CN" w:bidi="ar"/>
        </w:rPr>
        <w:t>Note: total open interest and the fixed-amount position limit are based on long or short</w:t>
      </w:r>
      <w:r>
        <w:rPr>
          <w:rFonts w:hint="eastAsia" w:ascii="Times New Roman" w:hAnsi="Times New Roman" w:eastAsia="宋体" w:cs="Times New Roman"/>
          <w:color w:val="auto"/>
          <w:kern w:val="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positions.</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val="0"/>
          <w:color w:val="auto"/>
          <w:kern w:val="2"/>
          <w:sz w:val="22"/>
          <w:szCs w:val="22"/>
          <w:lang w:val="en-US" w:eastAsia="zh-CN" w:bidi="ar"/>
        </w:rPr>
        <w:t>Article 50</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For contracts in hot-rolled coil</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 xml:space="preserve">futures, by the close of the last trading day of the month prior to the delivery month, each Trader (referring here and hereinafter to a Client, a Non-Futures Firm Member) shall adjust its general positions held under its trading code, to multiples of thirty (30) lots and a one-day delay is allowed under special market conditions; in the delivery month, the general positions as well as newly opened and closed-out positions shall be held in multiples of thirty (30) lots.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val="0"/>
          <w:color w:val="auto"/>
          <w:kern w:val="2"/>
          <w:sz w:val="22"/>
          <w:szCs w:val="22"/>
          <w:lang w:val="en-US" w:eastAsia="zh-CN" w:bidi="ar"/>
        </w:rPr>
        <w:t>Article 51</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If the Exchange makes a forced position reduction</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to a hot-rolled coil futures contract,</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the amount of the unfilled orders subject to the order fill, positions eligible to fill the unfilled orders</w:t>
      </w:r>
      <w:r>
        <w:rPr>
          <w:rFonts w:hint="default" w:ascii="Times New Roman" w:hAnsi="Times New Roman" w:eastAsia="宋体" w:cs="Times New Roman"/>
          <w:bCs/>
          <w:color w:val="auto"/>
          <w:kern w:val="0"/>
          <w:sz w:val="22"/>
          <w:szCs w:val="22"/>
          <w:lang w:val="en-US" w:eastAsia="zh-CN" w:bidi="ar"/>
        </w:rPr>
        <w:t xml:space="preserve"> of a Trader</w:t>
      </w:r>
      <w:r>
        <w:rPr>
          <w:rFonts w:hint="default" w:ascii="Times New Roman" w:hAnsi="Times New Roman" w:eastAsia="宋体" w:cs="Times New Roman"/>
          <w:bCs/>
          <w:color w:val="auto"/>
          <w:kern w:val="2"/>
          <w:sz w:val="22"/>
          <w:szCs w:val="22"/>
          <w:lang w:val="en-US" w:eastAsia="zh-CN" w:bidi="ar"/>
        </w:rPr>
        <w:t>, and the principles and methods for the order fill of unfilled orders</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shall be determined as follows:</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(i)</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Amount of the unfilled orders subject to the order fill. The term “amount of unfilled orders subject to the order fill” means the total amount of all the unfilled orders submitted after the close of the base date at the limit price into the central order book by each </w:t>
      </w:r>
      <w:r>
        <w:rPr>
          <w:rFonts w:hint="default" w:ascii="Times New Roman" w:hAnsi="Times New Roman" w:eastAsia="宋体" w:cs="Times New Roman"/>
          <w:bCs/>
          <w:color w:val="auto"/>
          <w:kern w:val="0"/>
          <w:sz w:val="22"/>
          <w:szCs w:val="22"/>
          <w:lang w:val="en-US" w:eastAsia="zh-CN" w:bidi="ar"/>
        </w:rPr>
        <w:t xml:space="preserve">Trader </w:t>
      </w:r>
      <w:r>
        <w:rPr>
          <w:rFonts w:hint="default" w:ascii="Times New Roman" w:hAnsi="Times New Roman" w:eastAsia="宋体" w:cs="Times New Roman"/>
          <w:bCs/>
          <w:color w:val="auto"/>
          <w:kern w:val="2"/>
          <w:sz w:val="22"/>
          <w:szCs w:val="22"/>
          <w:lang w:val="en-US" w:eastAsia="zh-CN" w:bidi="ar"/>
        </w:rPr>
        <w:t>who has incurred losses on net positions in the contract of an average level of no less than six percent (6%)</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for hot-rolled coil futures contracts, of the settlement price of the base date.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(ii)</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Positions eligible to fill the unfilled orders</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of a Trader. The positions eligible to fill the unfilled orders include the net positions, on which the</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as calculated using the above formula</w:t>
      </w:r>
      <w:r>
        <w:rPr>
          <w:rFonts w:hint="default" w:ascii="Times New Roman" w:hAnsi="Times New Roman" w:eastAsia="宋体" w:cs="Times New Roman"/>
          <w:color w:val="auto"/>
          <w:kern w:val="2"/>
          <w:sz w:val="24"/>
          <w:szCs w:val="24"/>
          <w:lang w:val="en-US" w:eastAsia="zh-CN" w:bidi="ar"/>
        </w:rPr>
        <w:t xml:space="preserve"> </w:t>
      </w:r>
      <w:r>
        <w:rPr>
          <w:rFonts w:hint="default" w:ascii="Times New Roman" w:hAnsi="Times New Roman" w:eastAsia="宋体" w:cs="Times New Roman"/>
          <w:bCs/>
          <w:color w:val="auto"/>
          <w:kern w:val="2"/>
          <w:sz w:val="22"/>
          <w:szCs w:val="22"/>
          <w:lang w:val="en-US" w:eastAsia="zh-CN" w:bidi="ar"/>
        </w:rPr>
        <w:t>stipulated in the Risk Management Rules of the Shanghai Futures Exchange, records average gains for</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purposes or for hedging purposes at no less than six percent (6%)</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of the settlement price of the base date.</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(iii)</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Principles for the order fill of unfilled orders. The order fill of unfilled orders shall take place in the order of the following four levels with regard to the amount of gains and whether such positions are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or hedging: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Level 1: Unfilled orders shall be filled with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positions eligible to fill the unfilled orders of any</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xml:space="preserve"> with average gains on net positions of no less than six percent (6%) of the settlement price on the base date for the contracts in</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hot-rolled coil futures, or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Over 6%; </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Level 2: Unfilled orders shall be filled with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positions eligible to fill the unfilled orders of any</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xml:space="preserve"> with average gains on net positions of no less than three percent (3%) but no more than six percent (6%) of the settlement price on the base date for contracts with respect to</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 xml:space="preserve">hot-rolled coil futures, or the </w:t>
      </w:r>
      <w:r>
        <w:rPr>
          <w:rFonts w:hint="default" w:ascii="Times New Roman" w:hAnsi="Times New Roman" w:eastAsia="宋体" w:cs="Times New Roman"/>
          <w:bCs/>
          <w:color w:val="auto"/>
          <w:kern w:val="0"/>
          <w:sz w:val="22"/>
          <w:szCs w:val="22"/>
          <w:lang w:val="en-US" w:eastAsia="zh-CN" w:bidi="ar"/>
        </w:rPr>
        <w:t>General</w:t>
      </w:r>
      <w:r>
        <w:rPr>
          <w:rFonts w:hint="default" w:ascii="Times New Roman" w:hAnsi="Times New Roman" w:eastAsia="宋体" w:cs="Times New Roman"/>
          <w:bCs/>
          <w:color w:val="auto"/>
          <w:kern w:val="2"/>
          <w:sz w:val="22"/>
          <w:szCs w:val="22"/>
          <w:lang w:val="en-US" w:eastAsia="zh-CN" w:bidi="ar"/>
        </w:rPr>
        <w:t xml:space="preserve"> Position Gains of Over 3%;</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Level 3: Unfilled orders shall be filled with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positions eligible to fill the unfilled orders of a</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xml:space="preserve"> with average gains on net positions of no more than three percent (3%) of the settlement price on the base date for contracts in</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hot-rolled coil futures, or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Below 3%; and</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Level 4: Unfilled orders shall be filled with the hedging positions eligible to fill the unfilled orders of a</w:t>
      </w:r>
      <w:r>
        <w:rPr>
          <w:rFonts w:hint="default" w:ascii="Times New Roman" w:hAnsi="Times New Roman" w:eastAsia="宋体" w:cs="Times New Roman"/>
          <w:bCs/>
          <w:color w:val="auto"/>
          <w:kern w:val="0"/>
          <w:sz w:val="22"/>
          <w:szCs w:val="22"/>
          <w:lang w:val="en-US" w:eastAsia="zh-CN" w:bidi="ar"/>
        </w:rPr>
        <w:t xml:space="preserve"> Trader</w:t>
      </w:r>
      <w:r>
        <w:rPr>
          <w:rFonts w:hint="default" w:ascii="Times New Roman" w:hAnsi="Times New Roman" w:eastAsia="宋体" w:cs="Times New Roman"/>
          <w:bCs/>
          <w:color w:val="auto"/>
          <w:kern w:val="2"/>
          <w:sz w:val="22"/>
          <w:szCs w:val="22"/>
          <w:lang w:val="en-US" w:eastAsia="zh-CN" w:bidi="ar"/>
        </w:rPr>
        <w:t xml:space="preserve"> with average gains on net positions of no less than six percent (6%) of the settlement price on the base date for contracts in</w:t>
      </w:r>
      <w:r>
        <w:rPr>
          <w:rFonts w:hint="eastAsia" w:ascii="Times New Roman" w:hAnsi="Times New Roman" w:eastAsia="宋体" w:cs="Times New Roman"/>
          <w:bCs/>
          <w:color w:val="auto"/>
          <w:kern w:val="2"/>
          <w:sz w:val="22"/>
          <w:szCs w:val="22"/>
          <w:lang w:val="en-US" w:eastAsia="zh-CN" w:bidi="ar"/>
        </w:rPr>
        <w:t xml:space="preserve"> </w:t>
      </w:r>
      <w:r>
        <w:rPr>
          <w:rFonts w:hint="default" w:ascii="Times New Roman" w:hAnsi="Times New Roman" w:eastAsia="宋体" w:cs="Times New Roman"/>
          <w:bCs/>
          <w:color w:val="auto"/>
          <w:kern w:val="2"/>
          <w:sz w:val="22"/>
          <w:szCs w:val="22"/>
          <w:lang w:val="en-US" w:eastAsia="zh-CN" w:bidi="ar"/>
        </w:rPr>
        <w:t>hot-rolled coil futures, or the Hedging Position Gains of Over 6%.</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Cs/>
          <w:color w:val="auto"/>
          <w:kern w:val="2"/>
          <w:sz w:val="22"/>
          <w:szCs w:val="22"/>
          <w:lang w:val="en-US" w:eastAsia="zh-CN" w:bidi="ar"/>
        </w:rPr>
        <w:t>(iv)</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Methods for the order fill of unfilled orders. If the amount of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Over 6% is greater than or equal to that of the unfilled orders, the unfilled orders shall be filled pro rata to the amount of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Over 6%. If the amount of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Over 6% is smaller than that of the unfilled orders,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Over 6% shall be filled pro rata to the amount of the unfilled orders. The residual unfilled orders, if any, shall be filled with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Positions Gains of Over 3% in the same manner as the foregoing, and if there are still orders remaining, the outstanding unfilled orders shall be filled to the</w:t>
      </w:r>
      <w:r>
        <w:rPr>
          <w:rFonts w:hint="default" w:ascii="Times New Roman" w:hAnsi="Times New Roman" w:eastAsia="宋体" w:cs="Times New Roman"/>
          <w:bCs/>
          <w:color w:val="auto"/>
          <w:kern w:val="0"/>
          <w:sz w:val="22"/>
          <w:szCs w:val="22"/>
          <w:lang w:val="en-US" w:eastAsia="zh-CN" w:bidi="ar"/>
        </w:rPr>
        <w:t xml:space="preserve"> General</w:t>
      </w:r>
      <w:r>
        <w:rPr>
          <w:rFonts w:hint="default" w:ascii="Times New Roman" w:hAnsi="Times New Roman" w:eastAsia="宋体" w:cs="Times New Roman"/>
          <w:bCs/>
          <w:color w:val="auto"/>
          <w:kern w:val="2"/>
          <w:sz w:val="22"/>
          <w:szCs w:val="22"/>
          <w:lang w:val="en-US" w:eastAsia="zh-CN" w:bidi="ar"/>
        </w:rPr>
        <w:t xml:space="preserve"> Position Gains of Below 3%, and so to the Hedging Position Gains of Over 6%. Unfilled orders which eventually remain after all the order fills described above, if any, shall not be filled at all.</w:t>
      </w:r>
    </w:p>
    <w:p>
      <w:pPr>
        <w:keepNext w:val="0"/>
        <w:keepLines w:val="0"/>
        <w:widowControl/>
        <w:suppressLineNumbers w:val="0"/>
        <w:adjustRightInd w:val="0"/>
        <w:snapToGrid w:val="0"/>
        <w:spacing w:before="0" w:beforeAutospacing="0" w:after="240" w:afterLines="100" w:afterAutospacing="0" w:line="256" w:lineRule="auto"/>
        <w:ind w:left="0" w:right="0"/>
        <w:jc w:val="center"/>
        <w:rPr>
          <w:rFonts w:hint="default" w:ascii="Times New Roman" w:hAnsi="Times New Roman" w:eastAsia="宋体" w:cs="Times New Roman"/>
          <w:b/>
          <w:bCs/>
          <w:kern w:val="2"/>
          <w:sz w:val="22"/>
          <w:szCs w:val="22"/>
        </w:rPr>
      </w:pPr>
      <w:r>
        <w:rPr>
          <w:rFonts w:hint="default" w:ascii="Times New Roman" w:hAnsi="Times New Roman" w:eastAsia="宋体" w:cs="Times New Roman"/>
          <w:b/>
          <w:bCs w:val="0"/>
          <w:color w:val="auto"/>
          <w:kern w:val="2"/>
          <w:sz w:val="22"/>
          <w:szCs w:val="22"/>
          <w:lang w:val="en-US" w:eastAsia="zh-CN" w:bidi="ar"/>
        </w:rPr>
        <w:t>CHAPTER 5</w:t>
      </w:r>
      <w:r>
        <w:rPr>
          <w:rFonts w:hint="default" w:ascii="Times New Roman" w:hAnsi="Times New Roman" w:eastAsia="宋体" w:cs="Times New Roman"/>
          <w:b/>
          <w:bCs/>
          <w:color w:val="auto"/>
          <w:kern w:val="2"/>
          <w:sz w:val="22"/>
          <w:szCs w:val="22"/>
          <w:lang w:val="en-US" w:eastAsia="zh-CN" w:bidi="ar"/>
        </w:rPr>
        <w:tab/>
      </w:r>
      <w:r>
        <w:rPr>
          <w:rFonts w:hint="default" w:ascii="Times New Roman" w:hAnsi="Times New Roman" w:eastAsia="宋体" w:cs="Times New Roman"/>
          <w:b/>
          <w:bCs/>
          <w:color w:val="auto"/>
          <w:kern w:val="2"/>
          <w:sz w:val="22"/>
          <w:szCs w:val="22"/>
          <w:lang w:val="en-US" w:eastAsia="zh-CN" w:bidi="ar"/>
        </w:rPr>
        <w:t>MISCELLANEOUS</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bCs/>
          <w:iCs/>
          <w:kern w:val="2"/>
          <w:sz w:val="22"/>
          <w:szCs w:val="22"/>
        </w:rPr>
      </w:pPr>
      <w:r>
        <w:rPr>
          <w:rFonts w:hint="default" w:ascii="Times New Roman" w:hAnsi="Times New Roman" w:eastAsia="宋体" w:cs="Times New Roman"/>
          <w:b/>
          <w:bCs/>
          <w:color w:val="auto"/>
          <w:kern w:val="2"/>
          <w:sz w:val="22"/>
          <w:szCs w:val="22"/>
          <w:lang w:val="en-US" w:eastAsia="zh-CN" w:bidi="ar"/>
        </w:rPr>
        <w:t>Article 52</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Matters not covered herein </w:t>
      </w:r>
      <w:r>
        <w:rPr>
          <w:rFonts w:hint="default" w:ascii="Times New Roman" w:hAnsi="Times New Roman" w:eastAsia="宋体" w:cs="Times New Roman"/>
          <w:iCs/>
          <w:color w:val="auto"/>
          <w:kern w:val="2"/>
          <w:sz w:val="22"/>
          <w:szCs w:val="22"/>
          <w:lang w:val="en-US" w:eastAsia="zh-CN" w:bidi="ar"/>
        </w:rPr>
        <w:t>shall be governed by the applicable business rules of the Exchange.</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color w:val="auto"/>
          <w:kern w:val="2"/>
          <w:sz w:val="22"/>
          <w:szCs w:val="22"/>
          <w:lang w:val="en-US" w:eastAsia="zh-CN" w:bidi="ar"/>
        </w:rPr>
        <w:t>Article 53</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等线" w:cs="Times New Roman"/>
          <w:color w:val="auto"/>
          <w:kern w:val="22"/>
          <w:sz w:val="22"/>
          <w:szCs w:val="22"/>
          <w:lang w:val="en-US" w:eastAsia="zh-CN" w:bidi="ar"/>
        </w:rPr>
        <w:t xml:space="preserve">Any violations of these </w:t>
      </w:r>
      <w:r>
        <w:rPr>
          <w:rFonts w:hint="default" w:ascii="Times New Roman" w:hAnsi="Times New Roman" w:eastAsia="宋体" w:cs="Times New Roman"/>
          <w:i/>
          <w:iCs w:val="0"/>
          <w:color w:val="auto"/>
          <w:kern w:val="2"/>
          <w:sz w:val="22"/>
          <w:szCs w:val="22"/>
          <w:lang w:val="en-US" w:eastAsia="zh-CN" w:bidi="ar"/>
        </w:rPr>
        <w:t>Hot-Rolled Coil Futures Rules</w:t>
      </w:r>
      <w:r>
        <w:rPr>
          <w:rFonts w:hint="default" w:ascii="Times New Roman" w:hAnsi="Times New Roman" w:eastAsia="等线" w:cs="Times New Roman"/>
          <w:i/>
          <w:iCs/>
          <w:color w:val="auto"/>
          <w:kern w:val="22"/>
          <w:sz w:val="22"/>
          <w:szCs w:val="22"/>
          <w:lang w:val="en-US" w:eastAsia="zh-CN" w:bidi="ar"/>
        </w:rPr>
        <w:t xml:space="preserve"> </w:t>
      </w:r>
      <w:r>
        <w:rPr>
          <w:rFonts w:hint="default" w:ascii="Times New Roman" w:hAnsi="Times New Roman" w:eastAsia="宋体" w:cs="Times New Roman"/>
          <w:color w:val="auto"/>
          <w:kern w:val="2"/>
          <w:sz w:val="22"/>
          <w:szCs w:val="22"/>
          <w:lang w:val="en-US" w:eastAsia="zh-CN" w:bidi="ar"/>
        </w:rPr>
        <w:t xml:space="preserve">will be handled by the Exchange in accordance with the </w:t>
      </w:r>
      <w:r>
        <w:rPr>
          <w:rFonts w:hint="default" w:ascii="Times New Roman" w:hAnsi="Times New Roman" w:eastAsia="宋体" w:cs="Times New Roman"/>
          <w:i/>
          <w:iCs/>
          <w:color w:val="auto"/>
          <w:kern w:val="2"/>
          <w:sz w:val="22"/>
          <w:szCs w:val="22"/>
          <w:lang w:val="en-US" w:eastAsia="zh-CN" w:bidi="ar"/>
        </w:rPr>
        <w:t>Enforcement Rules of the Shanghai Futures Exchange</w:t>
      </w:r>
      <w:r>
        <w:rPr>
          <w:rFonts w:hint="default" w:ascii="Times New Roman" w:hAnsi="Times New Roman" w:eastAsia="宋体" w:cs="Times New Roman"/>
          <w:color w:val="auto"/>
          <w:kern w:val="2"/>
          <w:sz w:val="22"/>
          <w:szCs w:val="22"/>
          <w:lang w:val="en-US" w:eastAsia="zh-CN" w:bidi="ar"/>
        </w:rPr>
        <w:t>.</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bCs/>
          <w:kern w:val="2"/>
          <w:sz w:val="22"/>
          <w:szCs w:val="22"/>
        </w:rPr>
      </w:pPr>
      <w:r>
        <w:rPr>
          <w:rFonts w:hint="default" w:ascii="Times New Roman" w:hAnsi="Times New Roman" w:eastAsia="宋体" w:cs="Times New Roman"/>
          <w:b/>
          <w:bCs/>
          <w:color w:val="auto"/>
          <w:kern w:val="2"/>
          <w:sz w:val="22"/>
          <w:szCs w:val="22"/>
          <w:lang w:val="en-US" w:eastAsia="zh-CN" w:bidi="ar"/>
        </w:rPr>
        <w:t>Article 54</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The Exchange reserves the right to interpret these </w:t>
      </w:r>
      <w:r>
        <w:rPr>
          <w:rFonts w:hint="default" w:ascii="Times New Roman" w:hAnsi="Times New Roman" w:eastAsia="宋体" w:cs="Times New Roman"/>
          <w:i/>
          <w:iCs w:val="0"/>
          <w:color w:val="auto"/>
          <w:kern w:val="2"/>
          <w:sz w:val="22"/>
          <w:szCs w:val="22"/>
          <w:lang w:val="en-US" w:eastAsia="zh-CN" w:bidi="ar"/>
        </w:rPr>
        <w:t>Hot-Rolled Coil Futures Rules</w:t>
      </w:r>
      <w:r>
        <w:rPr>
          <w:rFonts w:hint="default" w:ascii="Times New Roman" w:hAnsi="Times New Roman" w:eastAsia="宋体" w:cs="Times New Roman"/>
          <w:bCs/>
          <w:color w:val="auto"/>
          <w:kern w:val="2"/>
          <w:sz w:val="22"/>
          <w:szCs w:val="22"/>
          <w:lang w:val="en-US" w:eastAsia="zh-CN" w:bidi="ar"/>
        </w:rPr>
        <w:t>.</w:t>
      </w:r>
    </w:p>
    <w:p>
      <w:pPr>
        <w:keepNext w:val="0"/>
        <w:keepLines w:val="0"/>
        <w:widowControl/>
        <w:suppressLineNumbers w:val="0"/>
        <w:adjustRightInd w:val="0"/>
        <w:snapToGrid w:val="0"/>
        <w:spacing w:before="0" w:beforeAutospacing="0" w:after="240" w:afterLines="100" w:afterAutospacing="0" w:line="256" w:lineRule="auto"/>
        <w:ind w:left="0" w:right="0"/>
        <w:jc w:val="left"/>
        <w:rPr>
          <w:rFonts w:hint="default" w:ascii="Times New Roman" w:hAnsi="Times New Roman" w:eastAsia="宋体" w:cs="Times New Roman"/>
          <w:color w:val="auto"/>
          <w:kern w:val="2"/>
          <w:sz w:val="22"/>
          <w:szCs w:val="22"/>
          <w:lang w:val="en-US" w:eastAsia="zh-CN" w:bidi="ar"/>
        </w:rPr>
      </w:pPr>
      <w:r>
        <w:rPr>
          <w:rFonts w:hint="default" w:ascii="Times New Roman" w:hAnsi="Times New Roman" w:eastAsia="宋体" w:cs="Times New Roman"/>
          <w:b/>
          <w:bCs/>
          <w:color w:val="auto"/>
          <w:kern w:val="2"/>
          <w:sz w:val="22"/>
          <w:szCs w:val="22"/>
          <w:lang w:val="en-US" w:eastAsia="zh-CN" w:bidi="ar"/>
        </w:rPr>
        <w:t>Article 55</w:t>
      </w:r>
      <w:r>
        <w:rPr>
          <w:rFonts w:hint="default" w:ascii="Times New Roman" w:hAnsi="Times New Roman" w:eastAsia="宋体" w:cs="Times New Roman"/>
          <w:bCs/>
          <w:color w:val="auto"/>
          <w:kern w:val="2"/>
          <w:sz w:val="22"/>
          <w:szCs w:val="22"/>
          <w:lang w:val="en-US" w:eastAsia="zh-CN" w:bidi="ar"/>
        </w:rPr>
        <w:tab/>
      </w:r>
      <w:r>
        <w:rPr>
          <w:rFonts w:hint="default" w:ascii="Times New Roman" w:hAnsi="Times New Roman" w:eastAsia="宋体" w:cs="Times New Roman"/>
          <w:bCs/>
          <w:color w:val="auto"/>
          <w:kern w:val="2"/>
          <w:sz w:val="22"/>
          <w:szCs w:val="22"/>
          <w:lang w:val="en-US" w:eastAsia="zh-CN" w:bidi="ar"/>
        </w:rPr>
        <w:t xml:space="preserve">These </w:t>
      </w:r>
      <w:r>
        <w:rPr>
          <w:rFonts w:hint="default" w:ascii="Times New Roman" w:hAnsi="Times New Roman" w:eastAsia="宋体" w:cs="Times New Roman"/>
          <w:i/>
          <w:iCs w:val="0"/>
          <w:color w:val="auto"/>
          <w:kern w:val="2"/>
          <w:sz w:val="22"/>
          <w:szCs w:val="22"/>
          <w:lang w:val="en-US" w:eastAsia="zh-CN" w:bidi="ar"/>
        </w:rPr>
        <w:t>Hot-Rolled Coil Futures Rules</w:t>
      </w:r>
      <w:r>
        <w:rPr>
          <w:rFonts w:hint="default" w:ascii="Times New Roman" w:hAnsi="Times New Roman" w:eastAsia="宋体" w:cs="Times New Roman"/>
          <w:bCs/>
          <w:color w:val="auto"/>
          <w:kern w:val="2"/>
          <w:sz w:val="22"/>
          <w:szCs w:val="22"/>
          <w:lang w:val="en-US" w:eastAsia="zh-CN" w:bidi="ar"/>
        </w:rPr>
        <w:t xml:space="preserve"> take effect o</w:t>
      </w:r>
      <w:r>
        <w:rPr>
          <w:rFonts w:hint="default" w:ascii="Times New Roman" w:hAnsi="Times New Roman" w:eastAsia="宋体" w:cs="Times New Roman"/>
          <w:color w:val="auto"/>
          <w:kern w:val="2"/>
          <w:sz w:val="22"/>
          <w:szCs w:val="22"/>
          <w:lang w:val="en-US" w:eastAsia="zh-CN" w:bidi="ar"/>
        </w:rPr>
        <w:t xml:space="preserve">n </w:t>
      </w:r>
      <w:r>
        <w:rPr>
          <w:rFonts w:hint="eastAsia" w:ascii="Times New Roman" w:hAnsi="Times New Roman" w:eastAsia="宋体" w:cs="Times New Roman"/>
          <w:color w:val="auto"/>
          <w:kern w:val="2"/>
          <w:sz w:val="22"/>
          <w:szCs w:val="22"/>
          <w:lang w:val="en-US" w:eastAsia="zh-CN" w:bidi="ar"/>
        </w:rPr>
        <w:t>January 1, 2026</w:t>
      </w:r>
      <w:r>
        <w:rPr>
          <w:rFonts w:hint="default" w:ascii="Times New Roman" w:hAnsi="Times New Roman" w:eastAsia="宋体" w:cs="Times New Roman"/>
          <w:color w:val="auto"/>
          <w:kern w:val="2"/>
          <w:sz w:val="22"/>
          <w:szCs w:val="22"/>
          <w:lang w:val="en-US" w:eastAsia="zh-CN" w:bidi="ar"/>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华文中宋">
    <w:panose1 w:val="02010600040101010101"/>
    <w:charset w:val="86"/>
    <w:family w:val="auto"/>
    <w:pitch w:val="default"/>
    <w:sig w:usb0="00000287" w:usb1="080F0000" w:usb2="00000000" w:usb3="00000000" w:csb0="0004009F" w:csb1="DFD70000"/>
  </w:font>
  <w:font w:name="方正仿宋简体">
    <w:panose1 w:val="02000000000000000000"/>
    <w:charset w:val="86"/>
    <w:family w:val="auto"/>
    <w:pitch w:val="default"/>
    <w:sig w:usb0="00000001" w:usb1="08000000" w:usb2="00000000" w:usb3="00000000" w:csb0="00040000" w:csb1="00000000"/>
  </w:font>
  <w:font w:name="等线">
    <w:altName w:val="华文中宋"/>
    <w:panose1 w:val="00000000000000000000"/>
    <w:charset w:val="00"/>
    <w:family w:val="auto"/>
    <w:pitch w:val="default"/>
    <w:sig w:usb0="00000000" w:usb1="00000000" w:usb2="00000000"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B7E93C3"/>
    <w:rsid w:val="BB7E93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2">
    <w:name w:val="heading 1"/>
    <w:basedOn w:val="1"/>
    <w:next w:val="1"/>
    <w:qFormat/>
    <w:uiPriority w:val="0"/>
    <w:pPr>
      <w:snapToGrid w:val="0"/>
      <w:spacing w:before="100" w:beforeAutospacing="1" w:after="240" w:afterLines="100" w:afterAutospacing="0" w:line="256" w:lineRule="auto"/>
      <w:jc w:val="center"/>
      <w:outlineLvl w:val="0"/>
    </w:pPr>
    <w:rPr>
      <w:rFonts w:hint="default" w:ascii="Times New Roman" w:hAnsi="Times New Roman" w:eastAsia="宋体" w:cs="Times New Roman"/>
      <w:b/>
      <w:bCs/>
      <w:kern w:val="2"/>
      <w:sz w:val="28"/>
      <w:szCs w:val="2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2025-12-31T14:47:00Z</dcterms:created>
  <dc:creator>ji.shuoren</dc:creator>
  <cp:lastModifiedBy>ji.shuoren</cp:lastModifiedBy>
  <dcterms:modified xsi:type="dcterms:W3CDTF">2025-12-31T14:47:43Z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1945310ACDB81F67F3C65469ECAA104C</vt:lpwstr>
  </property>
</Properties>
</file>