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CAST ALUMINUM ALLOY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Cast Aluminum Alloy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default" w:ascii="Times New Roman" w:hAnsi="Times New Roman" w:eastAsia="宋体" w:cs="Times New Roman"/>
          <w:i/>
          <w:iCs/>
          <w:color w:val="auto"/>
          <w:kern w:val="2"/>
          <w:sz w:val="22"/>
          <w:szCs w:val="22"/>
          <w:lang w:val="en-US" w:eastAsia="zh-CN" w:bidi="ar"/>
        </w:rPr>
        <w:t xml:space="preserve"> SHFE Cast Aluminum Alloy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default"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cast aluminum alloy futures 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Cast Aluminum Alloy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 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cast aluminum alloy futures is ten (10)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cast aluminum alloy futures contract is 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 of a cast aluminum alloy futures contract is five (5)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 of cast aluminum alloy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cast aluminum alloy futures contract 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cast aluminum alloy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 of cast aluminum alloy futures is AD.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cast aluminum alloy futures contract, regular months extend from the day of listing to the last trading day of the second month before the delivery month, while nearby delivery months 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w:t>
      </w:r>
      <w:r>
        <w:rPr>
          <w:rFonts w:hint="default" w:ascii="Times New Roman" w:hAnsi="Times New Roman" w:eastAsia="宋体" w:cs="Times New Roman"/>
          <w:b w:val="0"/>
          <w:bCs w:val="0"/>
          <w:color w:val="auto"/>
          <w:kern w:val="2"/>
          <w:sz w:val="22"/>
          <w:szCs w:val="22"/>
          <w:lang w:val="en-US" w:eastAsia="zh-CN" w:bidi="ar"/>
        </w:rPr>
        <w:t xml:space="preserve">a contract-specific regular month hedging position quota of a cast aluminum alloy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cast aluminum alloy futures contract shall be submitted between the first trading day of the second</w:t>
      </w:r>
      <w:r>
        <w:rPr>
          <w:rFonts w:hint="default" w:ascii="Times New Roman" w:hAnsi="Times New Roman" w:eastAsia="宋体" w:cs="Times New Roman"/>
          <w:color w:val="auto"/>
          <w:kern w:val="2"/>
          <w:sz w:val="22"/>
          <w:szCs w:val="22"/>
          <w:lang w:val="en-US" w:eastAsia="zh-CN" w:bidi="ar"/>
        </w:rPr>
        <w:t xml:space="preserve"> month before the delivery month of the contract and the last trading day of the month before the delivery month. Late applications will not be accepted by the Exchange. An application for a nearby delivery month arbitrage position quota of a cast aluminum alloy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cast aluminum alloy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cast aluminum alloy futures contract may be physically delivered through an Exchange of Futures for Physicals (“EFP”) 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Cast Aluminum Alloy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212121"/>
          <w:kern w:val="0"/>
          <w:sz w:val="22"/>
          <w:szCs w:val="22"/>
          <w:lang w:val="en-US" w:eastAsia="zh-CN" w:bidi="ar"/>
        </w:rPr>
        <w:t>Delivery</w:t>
      </w:r>
      <w:r>
        <w:rPr>
          <w:rFonts w:hint="default" w:ascii="Times New Roman" w:hAnsi="Times New Roman" w:eastAsia="宋体" w:cs="Times New Roman"/>
          <w:color w:val="auto"/>
          <w:kern w:val="2"/>
          <w:sz w:val="22"/>
          <w:szCs w:val="22"/>
          <w:lang w:val="en-US" w:eastAsia="zh-CN" w:bidi="ar"/>
        </w:rPr>
        <w:t xml:space="preserve"> 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Cast Aluminum Alloy Futures Contract 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cast aluminum alloy shall be of a registered trademark from a manufacturer registered with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inspection of deliverable cast aluminum alloy shall be conducted in accordance with the requirements of the</w:t>
      </w:r>
      <w:r>
        <w:rPr>
          <w:rFonts w:hint="default" w:ascii="Times New Roman" w:hAnsi="Times New Roman" w:eastAsia="宋体" w:cs="Times New Roman"/>
          <w:i/>
          <w:iCs/>
          <w:color w:val="auto"/>
          <w:kern w:val="2"/>
          <w:sz w:val="22"/>
          <w:szCs w:val="22"/>
          <w:lang w:val="en-US" w:eastAsia="zh-CN" w:bidi="ar"/>
        </w:rPr>
        <w:t xml:space="preserve"> Rules on Management of Non-Ferrous Metal Products for Futures Delivery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Each warehouse standard warrant of cast aluminum alloy shall be valid for three hundred and sixty (360) days from the earliest production date of the underlying commodities, and be created only if all underlying commodities are delivered to the warehouse within one hundred and eighty (180) days following their earliest production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Specifications and packaging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Cast aluminum alloy underlying each standard warrant shall consist of commodity of the same manufacturer, grade (designation), registered trademark, shape, and packaged quantity (secured into bundles of similar weight), and have their dates of production spanning no more than sixty (60) consecutive days. The earliest of such dates shall be taken as the date of production on the standard warrant. The registered manufacturer may decide the weight of each bundle at its sole discretion, provided that the bundles can readily yield the delivery unit. Cast aluminum alloy shall be tightened into bundles with polyester straps in a dual-line grid (#) pattern, and specific requirements will be separately announced by the Exchange. The strapping shall be reliable and each bundle shall be marked by a prominent and secure product label, specifying grade (designation), registered trademark, manufacturer, weight, batch number (smelting number), and date of production. Each bundle shall weigh between seven hundred (700) and one thousand (1,000) kilograms.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polyester straps or loose ingots, the commodities shall be repackaged and securely tightened with specified straps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Each cast aluminum alloy ingot shall weigh six (6) kilograms plus or minus one (±1) kilogram.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(iv)</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Arriving commodities shall be covered with plastic film, and the delivery warehouse shall perform a visual inspection. The surfaces of the ingots shall be clean and free of mold spots and foreign inclusions. A minor amount of slag, trimming marks, and small cracks due to casting shrinkage are permissible. Any commodity that is not fit for purpose due to nuisance such as obvious rain stains and contamination shall not enter the delivery process.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quality, certificate of origin, certificate of inspection issued by a Designated Inspection Agency of the Exchange (excluding the amount of slag), declaration of imported goods, and certificate of VAT withholding by the customs. These documents are deemed valid only upon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 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 cast aluminum alloy</w:t>
      </w:r>
      <w:r>
        <w:rPr>
          <w:rFonts w:hint="default" w:ascii="Times New Roman" w:hAnsi="Times New Roman" w:eastAsia="方正仿宋简体" w:cs="Times New Roman"/>
          <w:color w:val="auto"/>
          <w:kern w:val="2"/>
          <w:sz w:val="22"/>
          <w:szCs w:val="22"/>
          <w:lang w:val="en-US" w:eastAsia="zh-CN" w:bidi="ar"/>
        </w:rPr>
        <w:t xml:space="preserve"> shall be measured by net weight at delivery</w:t>
      </w:r>
      <w:r>
        <w:rPr>
          <w:rFonts w:hint="default" w:ascii="Times New Roman" w:hAnsi="Times New Roman" w:eastAsia="宋体" w:cs="Times New Roman"/>
          <w:color w:val="auto"/>
          <w:kern w:val="2"/>
          <w:sz w:val="22"/>
          <w:szCs w:val="22"/>
          <w:lang w:val="en-US" w:eastAsia="zh-CN" w:bidi="ar"/>
        </w:rPr>
        <w:t>. The underlying cast aluminum alloy ingots for each standard warrant weigh thirty (30) metric tons. Difference between standard warrant weight and actual delivery weight shall not exceed plus or minus three percent (±3%). Pound difference shall not exceed plus or minus one-tenth of one percent (±0.1%).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Cast aluminum alloy futures contracts have a delivery unit of thirty (30)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cast aluminum alloy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cast aluminum alloy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 The cast aluminum alloy ingots intended for delivery must be stored indoors.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cast aluminum alloy in dispute shall remain in the delivery warehouse),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inspection report issued by a Designated Inspection Agency. The validity period for each batch of the delivered cast aluminum alloy shall cover the last delivery day of that delivery. Even if the validity period expires before the final date for the submission of a request for dispute resolution, the seller shall be responsible for the delivered commodities in the event that they fail the quality inspection.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cast aluminum alloy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inspection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II</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INVOICING PROCEDURES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Special value-added tax (“VAT”) invoices for cast aluminum alloy shall be issued by sellers to buyers, who are Non-FF Members. A special VAT invoice and the specific information required for its issuance shall be verified, transmitted, and confirmed by the carrying Members of the buyer and the seller. The carrying Members shall be responsible for mediating and resolving any related disputes.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By the end of the second delivery day, the buyer’s carrying Member shall provide the seller’s carrying Member with the specific information required for issuing the special VAT invoice. The seller’s carrying Member shall deliver the special VAT invoice to the buyer’s carrying Member no later than the seventh business day following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seller’s carrying Member fails to deliver the special VAT invoice by 2:00 p.m. on the second delivery day, the Exchange will charge a margin of no less than 15% of the final settlement price of the corresponding contract on the corresponding positions. T</w:t>
      </w:r>
      <w:r>
        <w:rPr>
          <w:rFonts w:hint="default" w:ascii="Times New Roman" w:hAnsi="Times New Roman" w:eastAsia="宋体" w:cs="Times New Roman"/>
          <w:color w:val="auto"/>
          <w:kern w:val="2"/>
          <w:sz w:val="22"/>
          <w:szCs w:val="22"/>
          <w:lang w:val="en-US" w:eastAsia="zh-CN" w:bidi="ar"/>
        </w:rPr>
        <w:t>his margin will be released once the seller issues the special VAT invoice to the buyer and their carrying members apply for and confirm the release.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If the seller’s carrying Member is late in delivering the special VAT invoice for three (3) to ten (10) days, an overdue fine of 0.5‰ of the delivery payment will be imposed for each day of delay; if late for eleven (11) to thirty (30) days, the overdue fine will increase to 1‰ per day; if late for more than thirty (30) days, the Member shall be deemed to have failed to deliver the special VAT invoice, and </w:t>
      </w:r>
      <w:r>
        <w:rPr>
          <w:rFonts w:hint="default" w:ascii="Times New Roman" w:hAnsi="Times New Roman" w:eastAsia="宋体" w:cs="Times New Roman"/>
          <w:color w:val="auto"/>
          <w:kern w:val="2"/>
          <w:sz w:val="22"/>
          <w:szCs w:val="22"/>
          <w:lang w:val="en-US" w:eastAsia="zh-CN" w:bidi="ar"/>
        </w:rPr>
        <w:t>the resulting liquidated damages will be calculated based on the VAT amount provided by national tax policies</w:t>
      </w:r>
      <w:r>
        <w:rPr>
          <w:rFonts w:hint="default"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Upon confirmation and application from both the buyer and the seller, the Exchange will collect the liquidated damages and overdue fine from </w:t>
      </w:r>
      <w:r>
        <w:rPr>
          <w:rFonts w:hint="default" w:ascii="Times New Roman" w:hAnsi="Times New Roman" w:eastAsia="宋体" w:cs="Times New Roman"/>
          <w:color w:val="000000"/>
          <w:kern w:val="2"/>
          <w:sz w:val="22"/>
          <w:szCs w:val="22"/>
          <w:lang w:val="en-US" w:eastAsia="zh-CN" w:bidi="ar"/>
        </w:rPr>
        <w:t>the seller’s carrying Member</w:t>
      </w:r>
      <w:r>
        <w:rPr>
          <w:rFonts w:hint="default" w:ascii="Times New Roman" w:hAnsi="Times New Roman" w:eastAsia="宋体" w:cs="Times New Roman"/>
          <w:color w:val="auto"/>
          <w:kern w:val="2"/>
          <w:sz w:val="22"/>
          <w:szCs w:val="22"/>
          <w:lang w:val="en-US" w:eastAsia="zh-CN" w:bidi="ar"/>
        </w:rPr>
        <w:t xml:space="preserve"> and transfer them</w:t>
      </w:r>
      <w:r>
        <w:rPr>
          <w:rFonts w:hint="default" w:ascii="Times New Roman" w:hAnsi="Times New Roman" w:eastAsia="宋体" w:cs="Times New Roman"/>
          <w:color w:val="000000"/>
          <w:kern w:val="2"/>
          <w:sz w:val="22"/>
          <w:szCs w:val="22"/>
          <w:lang w:val="en-US" w:eastAsia="zh-CN" w:bidi="ar"/>
        </w:rPr>
        <w:t xml:space="preserve"> to the buyer’s carrying Member. </w:t>
      </w:r>
      <w:r>
        <w:rPr>
          <w:rFonts w:hint="default" w:ascii="Times New Roman" w:hAnsi="Times New Roman" w:eastAsia="宋体" w:cs="Times New Roman"/>
          <w:color w:val="auto"/>
          <w:kern w:val="2"/>
          <w:sz w:val="22"/>
          <w:szCs w:val="22"/>
          <w:lang w:val="en-US" w:eastAsia="zh-CN" w:bidi="ar"/>
        </w:rPr>
        <w:t>If the buyer and seller have other agreements, these agreements will prevail.</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seller’s carrying Member is responsible for collecting the margin from the seller. The carrying Member and the seller shall make proper arrangements regarding the collection and payment of the margin, overdue fine, and liquidated damages. If the carrying Member pays overdue fine and liquidated damages in advance, it is entitled to seek reimbursement from the seller.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buyer’s carrying Member shall verify the special VAT invoice on the business day following its receipt and shall inform the seller’s carrying Member of the verification result.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 invoice is invalidated due to erroneous information provided by the buyer’s carrying Member or the buyer, they shall be held liable. If the buyer’s carrying Member delays in providing the required information, the time for the seller’s carrying Member to issue the invoice may be extended accordingly.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cast aluminum alloy futures contract and the EFPs are settled via the Exchange, the seller (a Non-FF Member) shall issue a special VAT invoice to the buyer (a Non-FF Member). By the end of the business day following completing the EFPs procedures, the buyer’s carrying Member shall provide the seller’s carrying Member with the specific information required for issuing the special VAT invoice. The seller’s carrying Member shall deliver the special VAT invoice to the buyer’s carrying Member no later than the seventh business day following completing the EFPs procedures.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 xml:space="preserve">If the seller’s carrying Member fails to deliver the special VAT invoice by 2:00 p.m. on the </w:t>
      </w:r>
      <w:r>
        <w:rPr>
          <w:rFonts w:hint="default" w:ascii="Times New Roman" w:hAnsi="Times New Roman" w:eastAsia="宋体" w:cs="Times New Roman"/>
          <w:color w:val="auto"/>
          <w:kern w:val="2"/>
          <w:sz w:val="22"/>
          <w:szCs w:val="22"/>
          <w:lang w:val="en-US" w:eastAsia="zh-CN" w:bidi="ar"/>
        </w:rPr>
        <w:t>business day following completing the EFPs procedures</w:t>
      </w:r>
      <w:r>
        <w:rPr>
          <w:rFonts w:hint="default" w:ascii="Times New Roman" w:hAnsi="Times New Roman" w:eastAsia="宋体" w:cs="Times New Roman"/>
          <w:color w:val="000000"/>
          <w:kern w:val="2"/>
          <w:sz w:val="22"/>
          <w:szCs w:val="22"/>
          <w:lang w:val="en-US" w:eastAsia="zh-CN" w:bidi="ar"/>
        </w:rPr>
        <w:t>, the Exchange will charge a margin of no less than 15% of the final settlement price of the corresponding contract on the corresponding positions.</w:t>
      </w:r>
      <w:r>
        <w:rPr>
          <w:rFonts w:hint="default" w:ascii="Times New Roman" w:hAnsi="Times New Roman" w:eastAsia="宋体" w:cs="Times New Roman"/>
          <w:color w:val="auto"/>
          <w:kern w:val="2"/>
          <w:sz w:val="22"/>
          <w:szCs w:val="22"/>
          <w:lang w:val="en-US" w:eastAsia="zh-CN" w:bidi="ar"/>
        </w:rPr>
        <w:t xml:space="preserve"> This margin will be released once the seller issues the special VAT invoice to the buyer and their carrying members apply for and confirm the release.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Any dispute mediation, overdue fine, liquidated damages, and other invoicing-related matters not covered shall be governed, </w:t>
      </w:r>
      <w:r>
        <w:rPr>
          <w:rFonts w:hint="default" w:ascii="Times New Roman" w:hAnsi="Times New Roman" w:eastAsia="宋体" w:cs="Times New Roman"/>
          <w:i/>
          <w:iCs/>
          <w:color w:val="auto"/>
          <w:kern w:val="2"/>
          <w:sz w:val="22"/>
          <w:szCs w:val="22"/>
          <w:lang w:val="en-US" w:eastAsia="zh-CN" w:bidi="ar"/>
        </w:rPr>
        <w:t>mutatis mutandis</w:t>
      </w:r>
      <w:r>
        <w:rPr>
          <w:rFonts w:hint="default" w:ascii="Times New Roman" w:hAnsi="Times New Roman" w:eastAsia="宋体" w:cs="Times New Roman"/>
          <w:color w:val="auto"/>
          <w:kern w:val="2"/>
          <w:sz w:val="22"/>
          <w:szCs w:val="22"/>
          <w:lang w:val="en-US" w:eastAsia="zh-CN" w:bidi="ar"/>
        </w:rPr>
        <w:t xml:space="preserve">, by the relevant provisions in Articles 25 to 28 of these </w:t>
      </w:r>
      <w:r>
        <w:rPr>
          <w:rFonts w:hint="default" w:ascii="Times New Roman" w:hAnsi="Times New Roman" w:eastAsia="宋体" w:cs="Times New Roman"/>
          <w:i/>
          <w:iCs/>
          <w:color w:val="auto"/>
          <w:kern w:val="2"/>
          <w:sz w:val="22"/>
          <w:szCs w:val="22"/>
          <w:lang w:val="en-US" w:eastAsia="zh-CN" w:bidi="ar"/>
        </w:rPr>
        <w:t>Cast Aluminum Alloy Futures Rules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 for a cast aluminum alloy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 for cast aluminum alloy futures are as follows:</w:t>
      </w:r>
    </w:p>
    <w:tbl>
      <w:tblPr>
        <w:tblStyle w:val="5"/>
        <w:tblW w:w="846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403"/>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20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20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20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20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20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120" w:beforeLines="5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 for a cast aluminum alloy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 cast aluminum alloy futures contract at different stages of trading are as follows (in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96"/>
        <w:gridCol w:w="1196"/>
        <w:gridCol w:w="1109"/>
        <w:gridCol w:w="938"/>
        <w:gridCol w:w="1109"/>
        <w:gridCol w:w="938"/>
        <w:gridCol w:w="1012"/>
        <w:gridCol w:w="8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15"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p>
        </w:tc>
        <w:tc>
          <w:tcPr>
            <w:tcW w:w="1939"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 w:val="0"/>
                <w:bCs/>
                <w:kern w:val="2"/>
                <w:sz w:val="20"/>
                <w:szCs w:val="20"/>
              </w:rPr>
            </w:pPr>
            <w:r>
              <w:rPr>
                <w:rFonts w:hint="default" w:ascii="Times New Roman" w:hAnsi="Times New Roman" w:eastAsia="宋体" w:cs="Times New Roman"/>
                <w:b w:val="0"/>
                <w:bCs/>
                <w:color w:val="auto"/>
                <w:kern w:val="2"/>
                <w:sz w:val="20"/>
                <w:szCs w:val="20"/>
                <w:lang w:val="en-US" w:eastAsia="zh-CN" w:bidi="ar"/>
              </w:rPr>
              <w:t>From the date of listing to the last trading day of the second month prior to the delivery month</w:t>
            </w:r>
          </w:p>
        </w:tc>
        <w:tc>
          <w:tcPr>
            <w:tcW w:w="122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 w:val="0"/>
                <w:bCs/>
                <w:kern w:val="2"/>
                <w:sz w:val="20"/>
                <w:szCs w:val="20"/>
              </w:rPr>
            </w:pPr>
            <w:r>
              <w:rPr>
                <w:rFonts w:hint="default" w:ascii="Times New Roman" w:hAnsi="Times New Roman" w:eastAsia="宋体" w:cs="Times New Roman"/>
                <w:b w:val="0"/>
                <w:bCs/>
                <w:color w:val="auto"/>
                <w:kern w:val="2"/>
                <w:sz w:val="20"/>
                <w:szCs w:val="20"/>
                <w:lang w:val="en-US" w:eastAsia="zh-CN" w:bidi="ar"/>
              </w:rPr>
              <w:t>First month prior to the delivery month</w:t>
            </w:r>
          </w:p>
        </w:tc>
        <w:tc>
          <w:tcPr>
            <w:tcW w:w="112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 w:val="0"/>
                <w:bCs/>
                <w:kern w:val="2"/>
                <w:sz w:val="20"/>
                <w:szCs w:val="20"/>
              </w:rPr>
            </w:pPr>
            <w:r>
              <w:rPr>
                <w:rFonts w:hint="default" w:ascii="Times New Roman" w:hAnsi="Times New Roman" w:eastAsia="宋体" w:cs="Times New Roman"/>
                <w:b w:val="0"/>
                <w:bCs/>
                <w:color w:val="auto"/>
                <w:kern w:val="2"/>
                <w:sz w:val="20"/>
                <w:szCs w:val="20"/>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15"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5"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Total open</w:t>
            </w:r>
          </w:p>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interest</w:t>
            </w:r>
          </w:p>
        </w:tc>
        <w:tc>
          <w:tcPr>
            <w:tcW w:w="1224"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bCs/>
                <w:color w:val="auto"/>
                <w:kern w:val="2"/>
                <w:sz w:val="20"/>
                <w:szCs w:val="20"/>
                <w:lang w:val="en-US" w:eastAsia="zh-CN" w:bidi="ar"/>
              </w:rPr>
              <w:t xml:space="preserve">Percentage-based Position Limit (in %) and </w:t>
            </w:r>
            <w:r>
              <w:rPr>
                <w:rFonts w:hint="default" w:ascii="Times New Roman" w:hAnsi="Times New Roman" w:eastAsia="宋体" w:cs="Times New Roman"/>
                <w:color w:val="auto"/>
                <w:kern w:val="2"/>
                <w:sz w:val="20"/>
                <w:szCs w:val="20"/>
                <w:lang w:val="en-US" w:eastAsia="zh-CN" w:bidi="ar"/>
              </w:rPr>
              <w:t>Fixed-amount Position Limit (in lots)</w:t>
            </w:r>
          </w:p>
        </w:tc>
        <w:tc>
          <w:tcPr>
            <w:tcW w:w="122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c>
          <w:tcPr>
            <w:tcW w:w="112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15"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5"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66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6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6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6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05"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1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15"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cast aluminum alloy</w:t>
            </w:r>
          </w:p>
        </w:tc>
        <w:tc>
          <w:tcPr>
            <w:tcW w:w="715"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方正仿宋简体" w:cs="Times New Roman"/>
                <w:bCs/>
                <w:color w:val="auto"/>
                <w:kern w:val="2"/>
                <w:sz w:val="20"/>
                <w:szCs w:val="20"/>
                <w:lang w:val="en-US" w:eastAsia="zh-CN" w:bidi="ar"/>
              </w:rPr>
              <w:t>≥</w:t>
            </w:r>
            <w:r>
              <w:rPr>
                <w:rFonts w:hint="default" w:ascii="Times New Roman" w:hAnsi="Times New Roman" w:eastAsia="宋体" w:cs="Times New Roman"/>
                <w:bCs/>
                <w:color w:val="auto"/>
                <w:kern w:val="2"/>
                <w:sz w:val="20"/>
                <w:szCs w:val="20"/>
                <w:lang w:val="en-US" w:eastAsia="zh-CN" w:bidi="ar"/>
              </w:rPr>
              <w:t>9,000</w:t>
            </w:r>
          </w:p>
        </w:tc>
        <w:tc>
          <w:tcPr>
            <w:tcW w:w="66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56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66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300</w:t>
            </w:r>
          </w:p>
        </w:tc>
        <w:tc>
          <w:tcPr>
            <w:tcW w:w="56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300</w:t>
            </w:r>
          </w:p>
        </w:tc>
        <w:tc>
          <w:tcPr>
            <w:tcW w:w="605"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w:t>
            </w:r>
          </w:p>
        </w:tc>
        <w:tc>
          <w:tcPr>
            <w:tcW w:w="514"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15"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5"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eastAsia" w:ascii="方正仿宋简体" w:hAnsi="方正仿宋简体" w:eastAsia="方正仿宋简体" w:cs="方正仿宋简体"/>
                <w:bCs/>
                <w:color w:val="auto"/>
                <w:kern w:val="2"/>
                <w:sz w:val="20"/>
                <w:szCs w:val="20"/>
                <w:lang w:val="en-US" w:eastAsia="zh-CN" w:bidi="ar"/>
              </w:rPr>
              <w:t>＜</w:t>
            </w:r>
            <w:r>
              <w:rPr>
                <w:rFonts w:hint="default" w:ascii="Times New Roman" w:hAnsi="Times New Roman" w:eastAsia="宋体" w:cs="Times New Roman"/>
                <w:bCs/>
                <w:color w:val="auto"/>
                <w:kern w:val="2"/>
                <w:sz w:val="20"/>
                <w:szCs w:val="20"/>
                <w:lang w:val="en-US" w:eastAsia="zh-CN" w:bidi="ar"/>
              </w:rPr>
              <w:t>9,000</w:t>
            </w:r>
          </w:p>
        </w:tc>
        <w:tc>
          <w:tcPr>
            <w:tcW w:w="66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w:t>
            </w:r>
          </w:p>
        </w:tc>
        <w:tc>
          <w:tcPr>
            <w:tcW w:w="56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Lines="25" w:beforeAutospacing="0" w:after="60" w:afterLines="25"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w:t>
            </w:r>
          </w:p>
        </w:tc>
        <w:tc>
          <w:tcPr>
            <w:tcW w:w="66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6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05"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14"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120" w:beforeLines="5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 positions.</w:t>
      </w:r>
    </w:p>
    <w:p>
      <w:pPr>
        <w:keepNext w:val="0"/>
        <w:keepLines w:val="0"/>
        <w:widowControl/>
        <w:suppressLineNumbers w:val="0"/>
        <w:adjustRightInd w:val="0"/>
        <w:snapToGrid w:val="0"/>
        <w:spacing w:before="120" w:beforeLines="5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cast aluminum alloy futures, by the close of the last trading day of the month prior to the delivery month, each Trader (referring here and hereinafter to a Client, a Non-Futures Firm Member) shall adjust its general positions held under its trading code, to multiples of three (3) lots and a one-day delay is allowed under special market conditions; in the delivery month, the general positions as well as newly opened and closed-out positions shall be held in multiples of three (3) lots. </w:t>
      </w:r>
    </w:p>
    <w:p>
      <w:pPr>
        <w:keepNext w:val="0"/>
        <w:keepLines w:val="0"/>
        <w:widowControl/>
        <w:suppressLineNumbers w:val="0"/>
        <w:adjustRightInd w:val="0"/>
        <w:snapToGrid w:val="0"/>
        <w:spacing w:before="120" w:beforeLines="5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 to a cast aluminum alloy futures contract, the amount of the unfilled orders subject to the order fill, positions eligible to fill the unfilled orders of a Trader, and the principles and methods for the order fill of unfilled orders 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 Trader who has incurred losses on net positions in the contract of an average level of no less than six percent (6%) for cast aluminum alloy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 Trader, as calculated using the above formula, stipulated in the Risk Management Rules of the Shanghai Futures Exchange, records average gains for general purposes or for hedging purposes at no less than six percent (6%)</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Principles for the order fill of unfilled orders. The order fill of unfilled orders shall take place in the order of the following four levels with regard to the amount of gains and whether such positions are general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 xml:space="preserve">Level 1: Unfilled orders shall be filled with the general positions eligible to fill the unfilled orders of any Trader with average gains on net positions of no less than six percent (6%) of the settlement price on the base date for the contracts in cast aluminum alloy futures, or the General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 general positions eligible to fill the unfilled orders of any Trader with average gains on net positions of no less than three percent (3%) but no more than six percent (6%) of the settlement price on the base date for contracts with respect to cast aluminum alloy futures, or the General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 general positions eligible to fill the unfilled orders of a Trader with average gains on net positions of no more than three percent (3%) of the settlement price on the base date for contracts in cast aluminum alloy futures, or the General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 Trader with average gains on net positions of no less than six percent (6%) of the settlement price on the base date for contracts in cast aluminum alloy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 General Position Gains of Over 6% is greater than or equal to that of the unfilled orders, the unfilled orders shall be filled pro rata to the amount of the General Position Gains of Over 6%. If the amount of the General Position Gains of Over 6% is smaller than that of the unfilled orders, the General Position Gains of Over 6% shall be filled pro rata to the amount of the unfilled orders. The residual unfilled orders, if any, shall be filled with the General Positions Gains of Over 3% in the same manner as the foregoing, and if there are still orders remaining, the outstanding unfilled orders shall be filled to the General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Cast Aluminum Alloy Futures Rules</w:t>
      </w:r>
      <w:r>
        <w:rPr>
          <w:rFonts w:hint="default" w:ascii="Times New Roman" w:hAnsi="Times New Roman" w:eastAsia="宋体"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Cast Aluminum Alloy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Cast Aluminum Alloy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DF4530"/>
    <w:rsid w:val="B1DF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2025-12-31T14:52:00Z</dcterms:created>
  <dc:creator>ji.shuoren</dc:creator>
  <cp:lastModifiedBy>ji.shuoren</cp:lastModifiedBy>
  <dcterms:modified xsi:type="dcterms:W3CDTF">2025-12-31T14:53:17Z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9CD65052CFFB061449C854694C4AEBB7</vt:lpwstr>
  </property>
</Properties>
</file>