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BLEACHED SOFTWOOD KRAFT PULP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Bleached Softwood Kraft Pulp (“BSKP”)</w:t>
      </w:r>
      <w:r>
        <w:rPr>
          <w:rFonts w:hint="default" w:ascii="Times New Roman" w:hAnsi="Times New Roman" w:eastAsia="宋体" w:cs="Times New Roman"/>
          <w:i/>
          <w:iCs w:val="0"/>
          <w:color w:val="auto"/>
          <w:kern w:val="2"/>
          <w:sz w:val="22"/>
          <w:szCs w:val="22"/>
          <w:lang w:val="en-US" w:eastAsia="zh-CN" w:bidi="ar"/>
        </w:rPr>
        <w:t xml:space="preserve">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Bleached Softwood Kraft Pulp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BSKP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BSKP</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BSKP futures is ten (10)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BSKP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BSKP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two (2)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BSKP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twelve (12)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from January to December.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BSKP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BSKP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the 15th day of the contract month.</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2"/>
          <w:szCs w:val="22"/>
          <w:lang w:val="en-US" w:eastAsia="zh-CN" w:bidi="ar"/>
        </w:rPr>
        <w:t>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BSKP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SP.</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w:t>
      </w:r>
      <w:r>
        <w:rPr>
          <w:rFonts w:hint="default" w:ascii="Times New Roman" w:hAnsi="Times New Roman" w:eastAsia="华文中宋" w:cs="Times New Roman"/>
          <w:color w:val="auto"/>
          <w:kern w:val="2"/>
          <w:sz w:val="22"/>
          <w:szCs w:val="22"/>
          <w:lang w:val="en-US" w:eastAsia="zh-CN" w:bidi="ar"/>
        </w:rPr>
        <w:t>ge position quota</w:t>
      </w:r>
      <w:r>
        <w:rPr>
          <w:rFonts w:hint="default" w:ascii="Times New Roman" w:hAnsi="Times New Roman" w:eastAsia="宋体" w:cs="Times New Roman"/>
          <w:color w:val="auto"/>
          <w:kern w:val="2"/>
          <w:sz w:val="22"/>
          <w:szCs w:val="22"/>
          <w:lang w:val="en-US" w:eastAsia="zh-CN" w:bidi="ar"/>
        </w:rPr>
        <w:t>s of a BSKP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w:t>
      </w:r>
      <w:r>
        <w:rPr>
          <w:rFonts w:hint="default" w:ascii="Times New Roman" w:hAnsi="Times New Roman" w:eastAsia="宋体" w:cs="Times New Roman"/>
          <w:b w:val="0"/>
          <w:bCs w:val="0"/>
          <w:color w:val="auto"/>
          <w:kern w:val="2"/>
          <w:sz w:val="22"/>
          <w:szCs w:val="22"/>
          <w:lang w:val="en-US" w:eastAsia="zh-CN" w:bidi="ar"/>
        </w:rPr>
        <w:t xml:space="preserve">a contract-specific regular month hedging position quota of a BSKP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BSKP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BSKP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BSKP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BSKP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BSKP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grade and quality specifications are provided in the </w:t>
      </w:r>
      <w:r>
        <w:rPr>
          <w:rFonts w:hint="default" w:ascii="Times New Roman" w:hAnsi="Times New Roman" w:eastAsia="宋体" w:cs="Times New Roman"/>
          <w:i/>
          <w:iCs/>
          <w:color w:val="auto"/>
          <w:kern w:val="2"/>
          <w:sz w:val="22"/>
          <w:szCs w:val="22"/>
          <w:lang w:val="en-US" w:eastAsia="zh-CN" w:bidi="ar"/>
        </w:rPr>
        <w:t>SHFE Bleached Softwood Kraft Pulp Futures Contract Specifications of the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BSKP shall be genuine pulp of a designated brand from a manufacturer recognized by the Exchange. The certified brands and manufacturers will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BSKP underlying each standard warrant shall consist of genuine pulp of the same manufacturer and brand.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BSKP shall meet the packaging requirements for commodities of certified brands from a manufacturer recognized by the Exchange. The outer packaging of each pack shall have a clearly recognizable label indicating the product name and other identifying information.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w:t>
      </w:r>
      <w:r>
        <w:rPr>
          <w:rFonts w:hint="default" w:ascii="Times New Roman" w:hAnsi="Times New Roman" w:eastAsia="宋体" w:cs="Times New Roman"/>
          <w:b/>
          <w:bCs w:val="0"/>
          <w:color w:val="auto"/>
          <w:kern w:val="2"/>
          <w:sz w:val="22"/>
          <w:szCs w:val="22"/>
          <w:lang w:val="en-US" w:eastAsia="zh-CN" w:bidi="ar"/>
        </w:rPr>
        <w: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inspection issued by a Designated Inspection Agency, the certificate of quality issued by the manufacturer, and other relevant materials. These documents are deemed valid only after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inspection issued by a Designated Inspection Agency; the customs declaration form, certificate of VAT withholding by the customs, certificate of origin, and certificate of quality of the physical commodity in question; and other relevant materials. These documents are deemed valid only after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In such circumstance, the Exchange will separately announce the revised requirements for the documentation for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w:t>
      </w:r>
      <w:r>
        <w:rPr>
          <w:rFonts w:hint="default" w:ascii="Times New Roman" w:hAnsi="Times New Roman" w:eastAsia="宋体" w:cs="Times New Roman"/>
          <w:b/>
          <w:bCs w:val="0"/>
          <w:color w:val="auto"/>
          <w:kern w:val="2"/>
          <w:sz w:val="22"/>
          <w:szCs w:val="22"/>
          <w:lang w:val="en-US" w:eastAsia="zh-CN" w:bidi="ar"/>
        </w:rPr>
        <w: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Tolerance and pound difference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BSKP shall be measured by air dry</w:t>
      </w:r>
      <w:r>
        <w:rPr>
          <w:rFonts w:hint="eastAsia"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weights at delivery. Difference between standard warrant weight and actual delivery weight shall not exceed plus or minus five percent (±5%). Pound difference shall not exceed plus or minus one percent (±1%).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w:t>
      </w:r>
      <w:r>
        <w:rPr>
          <w:rFonts w:hint="default" w:ascii="Times New Roman" w:hAnsi="Times New Roman" w:eastAsia="宋体" w:cs="Times New Roman"/>
          <w:b/>
          <w:bCs w:val="0"/>
          <w:color w:val="auto"/>
          <w:kern w:val="2"/>
          <w:sz w:val="22"/>
          <w:szCs w:val="22"/>
          <w:lang w:val="en-US" w:eastAsia="zh-CN" w:bidi="ar"/>
        </w:rPr>
        <w:t>icle 19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0"/>
          <w:sz w:val="22"/>
          <w:szCs w:val="22"/>
          <w:lang w:val="en-US" w:eastAsia="zh-CN" w:bidi="ar"/>
        </w:rPr>
        <w:t>Delivery unit for a BSKP futures contract is twenty (20) air dry metric tons</w:t>
      </w:r>
      <w:r>
        <w:rPr>
          <w:rFonts w:hint="eastAsia"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per standard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Delivery period of </w:t>
      </w:r>
      <w:r>
        <w:rPr>
          <w:rFonts w:hint="default" w:ascii="Times New Roman" w:hAnsi="Times New Roman" w:eastAsia="宋体" w:cs="Times New Roman"/>
          <w:color w:val="auto"/>
          <w:kern w:val="0"/>
          <w:sz w:val="22"/>
          <w:szCs w:val="22"/>
          <w:lang w:val="en-US" w:eastAsia="zh-CN" w:bidi="ar"/>
        </w:rPr>
        <w:t>a BSKP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benchmark price for delivery settlement of </w:t>
      </w:r>
      <w:r>
        <w:rPr>
          <w:rFonts w:hint="default" w:ascii="Times New Roman" w:hAnsi="Times New Roman" w:eastAsia="宋体" w:cs="Times New Roman"/>
          <w:color w:val="auto"/>
          <w:kern w:val="0"/>
          <w:sz w:val="22"/>
          <w:szCs w:val="22"/>
          <w:lang w:val="en-US" w:eastAsia="zh-CN" w:bidi="ar"/>
        </w:rPr>
        <w:t>a BSKP futures</w:t>
      </w:r>
      <w:r>
        <w:rPr>
          <w:rFonts w:hint="default" w:ascii="Times New Roman" w:hAnsi="Times New Roman" w:eastAsia="宋体" w:cs="Times New Roman"/>
          <w:color w:val="auto"/>
          <w:kern w:val="2"/>
          <w:sz w:val="22"/>
          <w:szCs w:val="22"/>
          <w:lang w:val="en-US" w:eastAsia="zh-CN" w:bidi="ar"/>
        </w:rPr>
        <w:t xml:space="preserve"> contract is the arithmetic average of the settlement prices of that contract over the last five (5) trading days on which it was traded.</w:t>
      </w:r>
      <w:r>
        <w:rPr>
          <w:rFonts w:hint="default" w:ascii="Times New Roman" w:hAnsi="Times New Roman" w:eastAsia="宋体" w:cs="Times New Roman"/>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val="0"/>
          <w:color w:val="auto"/>
          <w:kern w:val="2"/>
          <w:sz w:val="22"/>
          <w:szCs w:val="22"/>
          <w:lang w:val="en-US" w:eastAsia="zh-CN" w:bidi="ar"/>
        </w:rPr>
        <w:t>SECTION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color w:val="auto"/>
          <w:spacing w:val="0"/>
          <w:kern w:val="0"/>
          <w:sz w:val="22"/>
          <w:szCs w:val="22"/>
          <w:lang w:val="en-US" w:eastAsia="zh-CN" w:bidi="ar"/>
        </w:rPr>
        <w:t>WARE</w:t>
      </w:r>
      <w:r>
        <w:rPr>
          <w:rFonts w:hint="default" w:ascii="Times New Roman" w:hAnsi="Times New Roman" w:eastAsia="宋体" w:cs="Times New Roman"/>
          <w:b/>
          <w:bCs/>
          <w:color w:val="auto"/>
          <w:kern w:val="0"/>
          <w:sz w:val="22"/>
          <w:szCs w:val="22"/>
          <w:lang w:val="en-US" w:eastAsia="zh-CN" w:bidi="ar"/>
        </w:rPr>
        <w:t>HO</w:t>
      </w:r>
      <w:r>
        <w:rPr>
          <w:rFonts w:hint="default" w:ascii="Times New Roman" w:hAnsi="Times New Roman" w:eastAsia="宋体" w:cs="Times New Roman"/>
          <w:b/>
          <w:bCs/>
          <w:color w:val="auto"/>
          <w:spacing w:val="0"/>
          <w:kern w:val="0"/>
          <w:sz w:val="22"/>
          <w:szCs w:val="22"/>
          <w:lang w:val="en-US" w:eastAsia="zh-CN" w:bidi="ar"/>
        </w:rPr>
        <w:t>U</w:t>
      </w:r>
      <w:r>
        <w:rPr>
          <w:rFonts w:hint="default" w:ascii="Times New Roman" w:hAnsi="Times New Roman" w:eastAsia="宋体" w:cs="Times New Roman"/>
          <w:b/>
          <w:bCs/>
          <w:color w:val="auto"/>
          <w:kern w:val="0"/>
          <w:sz w:val="22"/>
          <w:szCs w:val="22"/>
          <w:lang w:val="en-US" w:eastAsia="zh-CN" w:bidi="ar"/>
        </w:rPr>
        <w:t>SE</w:t>
      </w:r>
      <w:r>
        <w:rPr>
          <w:rFonts w:hint="default" w:ascii="Times New Roman" w:hAnsi="Times New Roman" w:eastAsia="宋体" w:cs="Times New Roman"/>
          <w:b/>
          <w:bCs/>
          <w:color w:val="auto"/>
          <w:spacing w:val="0"/>
          <w:kern w:val="0"/>
          <w:sz w:val="22"/>
          <w:szCs w:val="22"/>
          <w:lang w:val="en-US" w:eastAsia="zh-CN" w:bidi="ar"/>
        </w:rPr>
        <w:t xml:space="preserve"> DEL</w:t>
      </w:r>
      <w:r>
        <w:rPr>
          <w:rFonts w:hint="default" w:ascii="Times New Roman" w:hAnsi="Times New Roman" w:eastAsia="宋体" w:cs="Times New Roman"/>
          <w:b/>
          <w:bCs/>
          <w:color w:val="auto"/>
          <w:kern w:val="0"/>
          <w:sz w:val="22"/>
          <w:szCs w:val="22"/>
          <w:lang w:val="en-US" w:eastAsia="zh-CN" w:bidi="ar"/>
        </w:rPr>
        <w:t>IV</w:t>
      </w:r>
      <w:r>
        <w:rPr>
          <w:rFonts w:hint="default" w:ascii="Times New Roman" w:hAnsi="Times New Roman" w:eastAsia="宋体" w:cs="Times New Roman"/>
          <w:b/>
          <w:bCs/>
          <w:color w:val="auto"/>
          <w:spacing w:val="0"/>
          <w:kern w:val="0"/>
          <w:sz w:val="22"/>
          <w:szCs w:val="22"/>
          <w:lang w:val="en-US" w:eastAsia="zh-CN" w:bidi="ar"/>
        </w:rPr>
        <w:t>ER</w:t>
      </w:r>
      <w:r>
        <w:rPr>
          <w:rFonts w:hint="default" w:ascii="Times New Roman" w:hAnsi="Times New Roman" w:eastAsia="宋体" w:cs="Times New Roman"/>
          <w:b/>
          <w:bCs/>
          <w:color w:val="auto"/>
          <w:kern w:val="0"/>
          <w:sz w:val="22"/>
          <w:szCs w:val="22"/>
          <w:lang w:val="en-US" w:eastAsia="zh-CN" w:bidi="ar"/>
        </w:rPr>
        <w: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0"/>
          <w:sz w:val="22"/>
          <w:szCs w:val="22"/>
          <w:lang w:val="en-US" w:eastAsia="zh-CN" w:bidi="ar"/>
        </w:rPr>
        <w:t>The BSKP arriving at a delivery warehouse shall have complete and clean packaging. The delivery warehouse shall check the whole shipment at acceptance. Any commodity that is not fit for purpose due to nuisance such as obvious moisture, mildew, contamination, or severe damage shall be rejected and not enter the delivery process.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宋体" w:cs="Times New Roman"/>
          <w:color w:val="auto"/>
          <w:kern w:val="2"/>
          <w:sz w:val="22"/>
          <w:szCs w:val="22"/>
          <w:lang w:val="en-US" w:eastAsia="zh-CN" w:bidi="ar"/>
        </w:rPr>
        <w:t>If the commodities arrive at the delivery warehouse with broken iron packaging wires or loose packs, the commodities shall be repackaged and securely tightened with specified iron wires before they are delivered. Any costs incurred in the reassembly shall be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0"/>
          <w:sz w:val="22"/>
          <w:szCs w:val="22"/>
          <w:lang w:val="en-US" w:eastAsia="zh-CN" w:bidi="ar"/>
        </w:rPr>
        <w:t>Deliverable BSKP underlying each standard warrant shall be stacked in storage areas which hold five</w:t>
      </w:r>
      <w:r>
        <w:rPr>
          <w:rFonts w:hint="eastAsia"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hundred (500) metric tons each.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Load-in and load-out inspection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BSKP arriving at a delivery warehouse shall be inspected by a Designated Inspection Agency in terms of quality and weight. The quality shall be that shown on the quality assay report issued by the Designated Inspection Agency; and a standard warrant may only be issued if the report indicates that the commodity meets the quality specifications prescribed by the Exchange. The weight shall be that shown on the weight inspection report issued by the Designated Inspection Agency. The owner shall ensure that the commodity loaded in meets the quality specifications prescribed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commodities shall be inspected using a sample test. Samples shall be taken only on the premise of the delivery warehouse and shall not be taken at stations or docks during the process of transportation to the warehouse. The commodity covered by each bill of lading shall form one inspection lot. Each inspection lot shall consist of BSKP of the same certified brand and packaging specifications.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Validity period of standard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BSKP may be delivered up to the last delivery month of the second year after the year of its production. Beyond that, the BSKP shall be unwarranted and converted to physicals.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(ii)</w:t>
      </w:r>
      <w:r>
        <w:rPr>
          <w:rFonts w:hint="default" w:ascii="Times New Roman" w:hAnsi="Times New Roman" w:eastAsia="宋体" w:cs="Times New Roman"/>
          <w:color w:val="auto"/>
          <w:kern w:val="0"/>
          <w:sz w:val="22"/>
          <w:szCs w:val="22"/>
          <w:lang w:val="en-US" w:eastAsia="zh-CN" w:bidi="ar"/>
        </w:rPr>
        <w:tab/>
      </w:r>
      <w:r>
        <w:rPr>
          <w:rFonts w:hint="default" w:ascii="Times New Roman" w:hAnsi="Times New Roman" w:eastAsia="宋体" w:cs="Times New Roman"/>
          <w:color w:val="auto"/>
          <w:kern w:val="0"/>
          <w:sz w:val="22"/>
          <w:szCs w:val="22"/>
          <w:lang w:val="en-US" w:eastAsia="zh-CN" w:bidi="ar"/>
        </w:rPr>
        <w:t>Imported BSKP intended for physical delivery shall be loaded into a delivery warehouse within six (6) months from the date it arrives at the port, and may be delivered up to the last delivery month of the second year after such date. Beyond that, the BSKP shall be unwarranted and converted to physicals.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0"/>
          <w:sz w:val="22"/>
          <w:szCs w:val="22"/>
          <w:lang w:val="en-US" w:eastAsia="zh-CN" w:bidi="ar"/>
        </w:rPr>
        <w:t>After the physical delivery is completed, if the buyer has any dispute over the quality or quantity of the commodity</w:t>
      </w:r>
      <w:r>
        <w:rPr>
          <w:rFonts w:hint="eastAsia"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(any BSKP in dispute shall remain in the delivery warehouse),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 commodity, and the Exchange will no longer accept</w:t>
      </w:r>
      <w:r>
        <w:rPr>
          <w:rFonts w:hint="eastAsia"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val="0"/>
          <w:color w:val="auto"/>
          <w:kern w:val="2"/>
          <w:sz w:val="22"/>
          <w:szCs w:val="22"/>
          <w:lang w:val="en-US" w:eastAsia="zh-CN" w:bidi="ar"/>
        </w:rPr>
        <w:t>SECTION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color w:val="auto"/>
          <w:spacing w:val="0"/>
          <w:kern w:val="0"/>
          <w:sz w:val="22"/>
          <w:szCs w:val="22"/>
          <w:lang w:val="en-US" w:eastAsia="zh-CN" w:bidi="ar"/>
        </w:rPr>
        <w:t>FACTORY DEL</w:t>
      </w:r>
      <w:r>
        <w:rPr>
          <w:rFonts w:hint="default" w:ascii="Times New Roman" w:hAnsi="Times New Roman" w:eastAsia="宋体" w:cs="Times New Roman"/>
          <w:b/>
          <w:bCs/>
          <w:color w:val="auto"/>
          <w:kern w:val="0"/>
          <w:sz w:val="22"/>
          <w:szCs w:val="22"/>
          <w:lang w:val="en-US" w:eastAsia="zh-CN" w:bidi="ar"/>
        </w:rPr>
        <w:t>IV</w:t>
      </w:r>
      <w:r>
        <w:rPr>
          <w:rFonts w:hint="default" w:ascii="Times New Roman" w:hAnsi="Times New Roman" w:eastAsia="宋体" w:cs="Times New Roman"/>
          <w:b/>
          <w:bCs/>
          <w:color w:val="auto"/>
          <w:spacing w:val="0"/>
          <w:kern w:val="0"/>
          <w:sz w:val="22"/>
          <w:szCs w:val="22"/>
          <w:lang w:val="en-US" w:eastAsia="zh-CN" w:bidi="ar"/>
        </w:rPr>
        <w:t>ER</w:t>
      </w:r>
      <w:r>
        <w:rPr>
          <w:rFonts w:hint="default" w:ascii="Times New Roman" w:hAnsi="Times New Roman" w:eastAsia="宋体" w:cs="Times New Roman"/>
          <w:b/>
          <w:bCs/>
          <w:color w:val="auto"/>
          <w:kern w:val="0"/>
          <w:sz w:val="22"/>
          <w:szCs w:val="22"/>
          <w:lang w:val="en-US" w:eastAsia="zh-CN" w:bidi="ar"/>
        </w:rPr>
        <w: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29</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Application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Before issuing any factory standard warrants, a Factory shall submit an issuance notice to the Exchange, specifying such information as the product, name of the carrying Member, name of the owner, and the quantity of standard warrants to be issued.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30</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The validity period for the delivery of a factory standard warrant shall be one (1) year and six (6) months from the date of issuance.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An owner who intends to take delivery shall submit an application through the Standard Warrant Management System to the intended Factory at least fifteen (15) business days before the proposed take-delivery date. The application shall specify such information as the quantity of the commodity, the proposed take-delivery date, location, method, and plan (including daily quantity), as well as the identification and contact information of the delivery taker.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The Factory will confirm the owner’s application within three (3) business days of receiving it after considering, among others, the owner’s proposed take-delivery date and take-delivery location.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If the owner’s proposed take-delivery date coincides with that of other owners holding factory standard warrants and their total daily take-delivery quantity exceeds the daily shipment quantity of the Factory, then the Factory may make an overall arrangement for shipment considering the order of their submission of applications and their take-delivery plans. The Factory shall also provide the owner with a take-delivery time period to choose from and a corresponding shipment plan (including daily shipment quantity) within three (3) business days after the owner’s submission of application. If agreeing to the arrangement, the owner may choose one day from the said period as the take-delivery date and confirm the shipment plan. If not, the owner may renegotiate with the Factory until they agree on a take-delivery date and a shipment plan. If the negotiation fails, the Factory shall ship the commodity based on the order of take-delivery dates; if the take-delivery dates fall into the same day, the Factory shall ship the commodity based on the order of the submission of applications.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(iii)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The Factory shall be exempt from any financial liability for any owner’s delay in taking delivery due to the coincidence described in sub-paragraph (ii),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32</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Arrival date of load-out commodity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If the load-out commodity is imported BSKP, its arrival date shall be within six (6) months before the take-delivery date confirmed by an owner and a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33</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Settlement for tolerance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The weight of load-out commodity shall be that shown on the weight inspection report issued by the Designated Inspection Agency.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34</w:t>
      </w:r>
      <w:r>
        <w:rPr>
          <w:rFonts w:hint="default" w:ascii="Times New Roman" w:hAnsi="Times New Roman" w:eastAsia="等线" w:cs="Times New Roman"/>
          <w:b/>
          <w:bCs/>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An owner shall take delivery at the Factory on the agreed take-delivery date according to the shipment plan. If the owner misses the agreed take-delivery date but takes delivery within twenty-five (25) days (including the 25th day) thereafter or if the owner fails to take delivery according to the agreed daily take-delivery plan due to any reasons not attributable to the Factory, then the Factory shall remain responsible for the quality of the commodity according to the quality standards set out in the BSKP futures contract, and shall make an overall shipment plan based on the take-delivery quantities of all owners until all corresponding commodities are shipped. The owner shall pay the overdue fee to the Factory.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Overdue fee = 2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 xml:space="preserve">Any shipment delay caused by the owner shall be resolved as agreed between the parties if they reach a separate agreement.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35</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If an owner fails to take delivery at the Factory within twenty-five (25) days (including the 25th day) after the agreed take-delivery date, which leads to the cancellation of its factory standard warrants, then the underlying commodities will be converted into physical products, and the owner shall pay an overdue fee to the Factory and negotiate details for taking delivery with the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 xml:space="preserve">Overdue fee = 35 yuan/metric ton × quantity of commodity that should have been taken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36</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If an owner takes delivery on the agreed take-delivery date at the Factory, but the Factory fails to ship the commodity according to the agreed shipment plan but still completes the shipment within twenty-five (25) days (including the 25th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37</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If the Factory fails to complete the shipment within twenty-five (25) days (including the 25th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On the 25th day after the agreed take-delivery date, the owner may notify the Factory that it will cease accepting any commodity that should have been shipped from the 26th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Refunded commodity payment and additional compensation = compensation settlement price × quantity of commodity that should have been shipped × 120%</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 xml:space="preserve">The compensation settlement price is the settlement price of the corresponding nearest month futures contract of the Exchange on the trading day preceding the 26th day after the agreed take-delivery date.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If on the 25th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38</w:t>
      </w:r>
      <w:r>
        <w:rPr>
          <w:rFonts w:hint="default" w:ascii="Times New Roman" w:hAnsi="Times New Roman" w:eastAsia="等线" w:cs="Times New Roman"/>
          <w:b/>
          <w:bCs/>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If a Factory commits any default described in Article 36 or 37, it shall first pay compensation or refund corresponding commodity payment together with additional compensation directly to the owner. If the Factory fails to make the payment in full or in part, the Exchange shall pay the deficient amount to the owner: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 xml:space="preserve">with the guarantees provided by the Factory; or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(ii)</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39</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If an owner commits any default described in Article 34 or 35, it shall first pay overdue fee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40</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If any losses are incurred to either a Factory or an owner due to any event described in Article 34, 35, 36, or 37, and both parties agree to reach a separate agreement, such agreement shall prevail. The agreement shall be filed with the Exchange for record.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b/>
          <w:bCs/>
          <w:color w:val="auto"/>
          <w:kern w:val="2"/>
          <w:sz w:val="22"/>
          <w:szCs w:val="22"/>
          <w:lang w:val="en-US" w:eastAsia="zh-CN" w:bidi="ar"/>
        </w:rPr>
        <w:t>Article 41</w:t>
      </w:r>
      <w:r>
        <w:rPr>
          <w:rFonts w:hint="default" w:ascii="Times New Roman" w:hAnsi="Times New Roman" w:eastAsia="等线" w:cs="Times New Roman"/>
          <w:color w:val="auto"/>
          <w:kern w:val="2"/>
          <w:sz w:val="22"/>
          <w:szCs w:val="22"/>
          <w:lang w:val="en-US" w:eastAsia="zh-CN" w:bidi="ar"/>
        </w:rPr>
        <w:tab/>
      </w:r>
      <w:r>
        <w:rPr>
          <w:rFonts w:hint="default" w:ascii="Times New Roman" w:hAnsi="Times New Roman" w:eastAsia="等线" w:cs="Times New Roman"/>
          <w:color w:val="auto"/>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等线" w:cs="Times New Roman"/>
          <w:kern w:val="2"/>
          <w:sz w:val="22"/>
          <w:szCs w:val="22"/>
        </w:rPr>
      </w:pPr>
      <w:r>
        <w:rPr>
          <w:rFonts w:hint="default" w:ascii="Times New Roman" w:hAnsi="Times New Roman" w:eastAsia="等线" w:cs="Times New Roman"/>
          <w:color w:val="auto"/>
          <w:kern w:val="2"/>
          <w:sz w:val="22"/>
          <w:szCs w:val="22"/>
          <w:lang w:val="en-US" w:eastAsia="zh-CN" w:bidi="ar"/>
        </w:rPr>
        <w:t>A delivery taker who disputes the quality of any delivered commodity, which shall be at the take-delivery location of the Factory, shall submit to the Exchange a written objection, accompanied by the quality inspection results issued by a Designated Inspection Agency, within twenty (20) business days following the cancellation of corresponding warrants; failing which, the delivery taker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BSKP futures contract is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BSKP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BSKP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BSKP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0"/>
        <w:gridCol w:w="1413"/>
        <w:gridCol w:w="1070"/>
        <w:gridCol w:w="1259"/>
        <w:gridCol w:w="1027"/>
        <w:gridCol w:w="138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9" w:hRule="atLeast"/>
          <w:jc w:val="center"/>
        </w:trPr>
        <w:tc>
          <w:tcPr>
            <w:tcW w:w="61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148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From the date of listing to the last trading day of the second month prior to the delivery month</w:t>
            </w:r>
          </w:p>
        </w:tc>
        <w:tc>
          <w:tcPr>
            <w:tcW w:w="136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first month prior to the delivery month</w:t>
            </w:r>
          </w:p>
        </w:tc>
        <w:tc>
          <w:tcPr>
            <w:tcW w:w="15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jc w:val="center"/>
        </w:trPr>
        <w:tc>
          <w:tcPr>
            <w:tcW w:w="61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48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36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5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3" w:hRule="atLeast"/>
          <w:jc w:val="center"/>
        </w:trPr>
        <w:tc>
          <w:tcPr>
            <w:tcW w:w="61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4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64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75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61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82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6" w:hRule="atLeast"/>
          <w:jc w:val="center"/>
        </w:trPr>
        <w:tc>
          <w:tcPr>
            <w:tcW w:w="610"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BSKP</w:t>
            </w:r>
            <w:r>
              <w:rPr>
                <w:rFonts w:hint="default" w:ascii="Times New Roman" w:hAnsi="Times New Roman" w:eastAsia="宋体" w:cs="Times New Roman"/>
                <w:bCs/>
                <w:color w:val="auto"/>
                <w:kern w:val="2"/>
                <w:sz w:val="22"/>
                <w:szCs w:val="22"/>
                <w:lang w:val="en-US" w:eastAsia="zh-CN" w:bidi="ar"/>
              </w:rPr>
              <w:t xml:space="preserve"> </w:t>
            </w:r>
          </w:p>
        </w:tc>
        <w:tc>
          <w:tcPr>
            <w:tcW w:w="84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4,500</w:t>
            </w:r>
          </w:p>
        </w:tc>
        <w:tc>
          <w:tcPr>
            <w:tcW w:w="64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4,500</w:t>
            </w:r>
          </w:p>
        </w:tc>
        <w:tc>
          <w:tcPr>
            <w:tcW w:w="75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900</w:t>
            </w:r>
          </w:p>
        </w:tc>
        <w:tc>
          <w:tcPr>
            <w:tcW w:w="61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900</w:t>
            </w:r>
          </w:p>
        </w:tc>
        <w:tc>
          <w:tcPr>
            <w:tcW w:w="82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300</w:t>
            </w: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300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Article 46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BSKP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two (2)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two (2) lots.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 to a BSKP futures contract, 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 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eight percent (8%) for BSKP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eight percent (8%)</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the contracts in BSKP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four percent (4%) but no more than eight percent (8%) of the settlement price on the base date for contracts with respect to BSKP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four percent (4%) of the settlement price on the base date for contracts in BSKP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4%;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contracts in BSKP futures, or the Hedging Position Gains of Over 8%.</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4%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4%, and so to the Hedging Position Gains of Over 8%.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BSKP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BSKP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These BSKP Futures Rules take effect on</w:t>
      </w:r>
      <w:r>
        <w:rPr>
          <w:rFonts w:hint="default" w:ascii="Times New Roman" w:hAnsi="Times New Roman" w:eastAsia="宋体" w:cs="Times New Roman"/>
          <w:color w:val="auto"/>
          <w:kern w:val="2"/>
          <w:sz w:val="22"/>
          <w:szCs w:val="22"/>
          <w:lang w:val="en-US" w:eastAsia="zh-CN" w:bidi="ar"/>
        </w:rPr>
        <w:t xml:space="preserve">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70C1C"/>
    <w:rsid w:val="FFB7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2025-12-31T14:52:00Z</dcterms:created>
  <dc:creator>ji.shuoren</dc:creator>
  <cp:lastModifiedBy>ji.shuoren</cp:lastModifiedBy>
  <dcterms:modified xsi:type="dcterms:W3CDTF">2025-12-31T14:52:48Z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B042835944B3C8DE2BC854694D831D22</vt:lpwstr>
  </property>
</Properties>
</file>