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p>
    <w:p>
      <w:pPr>
        <w:pStyle w:val="2"/>
        <w:keepNext w:val="0"/>
        <w:keepLines w:val="0"/>
        <w:widowControl/>
        <w:suppressLineNumbers w:val="0"/>
        <w:rPr>
          <w:rFonts w:hint="default" w:ascii="Times New Roman" w:hAnsi="Times New Roman" w:eastAsia="华文中宋" w:cs="Times New Roman"/>
          <w:b/>
          <w:bCs/>
          <w:kern w:val="2"/>
          <w:sz w:val="22"/>
          <w:szCs w:val="22"/>
        </w:rPr>
      </w:pPr>
      <w:bookmarkStart w:id="0" w:name="_GoBack"/>
      <w:bookmarkEnd w:id="0"/>
      <w:r>
        <w:rPr>
          <w:rFonts w:hint="default" w:ascii="Times New Roman" w:hAnsi="Times New Roman" w:eastAsia="华文中宋" w:cs="Times New Roman"/>
          <w:b/>
          <w:bCs/>
          <w:kern w:val="2"/>
          <w:sz w:val="22"/>
          <w:szCs w:val="22"/>
        </w:rPr>
        <w:t>NICKEL FUTURES RULES OF THE SHANGHAI FUTURES EXCHANGE</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Nickel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Nickel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nickel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0"/>
          <w:sz w:val="22"/>
          <w:szCs w:val="22"/>
        </w:rPr>
      </w:pPr>
      <w:r>
        <w:rPr>
          <w:rFonts w:hint="default" w:ascii="Times New Roman" w:hAnsi="Times New Roman" w:eastAsia="宋体" w:cs="Times New Roman"/>
          <w:b/>
          <w:bCs/>
          <w:color w:val="auto"/>
          <w:kern w:val="2"/>
          <w:sz w:val="22"/>
          <w:szCs w:val="22"/>
          <w:lang w:val="en-US" w:eastAsia="zh-CN" w:bidi="ar"/>
        </w:rPr>
        <w:t>Article 2</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Nickel Futures Rules</w:t>
      </w:r>
      <w:r>
        <w:rPr>
          <w:rFonts w:hint="default" w:ascii="Times New Roman" w:hAnsi="Times New Roman" w:eastAsia="宋体" w:cs="Times New Roman"/>
          <w:color w:val="auto"/>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nickel futures is one (1) metric ton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Price quotation of a nickel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nickel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ten (10)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nickel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nickel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nickel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nickel futures is NI.</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nickel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w:t>
      </w:r>
      <w:r>
        <w:rPr>
          <w:rFonts w:hint="default" w:ascii="Times New Roman" w:hAnsi="Times New Roman" w:eastAsia="宋体" w:cs="Times New Roman"/>
          <w:b w:val="0"/>
          <w:bCs w:val="0"/>
          <w:color w:val="auto"/>
          <w:kern w:val="2"/>
          <w:sz w:val="22"/>
          <w:szCs w:val="22"/>
          <w:lang w:val="en-US" w:eastAsia="zh-CN" w:bidi="ar"/>
        </w:rPr>
        <w:t xml:space="preserve">a contract-specific regular month hedging position quota of a nickel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 xml:space="preserve">An application for a nearby delivery month hedging position quota of a nickel futures contract shall be submitted between the first trading day of the second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nickel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nickel futures contract shall no longer be used in a revolving manner starting from the first trading day of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nickel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Nickel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Nickel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commodity shall be of a registered brand from a manufacturer registered with the Exchange, or of a designated brand from a manufacturer recognized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Nickel cathodes (full plate)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Electrolytic nickel cathodes underlying each delivery unit shall consist of commodity of the same manufacturer, grade (designation), registered or designated brand, quality grade, shape, and secured into bundles of similar weight. The manufacturer may decide the weight of each bundle at its sole discretion, provided that the bundles can readily yield the 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Nickel cathodes shall be tightened into bundles with rust-resistant steel straps measuring 30-32 mm × 0.9-1.0 mm in a dual-line grid (“#”) pattern, or with other methods of comparable strength using steel straps. The strapping shall be reliable and each bundle shall be marked by a prominent and secure product label.</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commodities arrive at the warehouse with broken steel straps, severely rusted or corroded bundling materials, or loose plates, the commodities shall be repackaged and securely tightened with specified steel straps before they are delivered. Any costs incurred in the reassembly shall be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Nickel briquettes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Electrolytic nickel briquettes underlying each delivery unit shall consist of commodity of the same manufacturer, grade (designation), registered or designated brand, and quality grade. Nickel briquettes may be packaged in bags or drums. The manufacturer may decide the weight of each bag or drum at its sole discretion, provided that the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bags or drums can readily yield the 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Each bag or drum shall be marked by a prominent and secure product label.</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commodities arrive at the warehouse with broken packaging, the commodities shall be repackaged with any costs incurred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Others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quality, certificate of origin, certificate of commodity inspection, certificate of payment of import tariff, and certificate of VAT withholding by the customs. These documents are deemed valid only upon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relevant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Tolerance and pound difference: The underlying </w:t>
      </w:r>
      <w:r>
        <w:rPr>
          <w:rFonts w:hint="default" w:ascii="Times New Roman" w:hAnsi="Times New Roman" w:eastAsia="宋体" w:cs="Times New Roman"/>
          <w:color w:val="auto"/>
          <w:kern w:val="2"/>
          <w:sz w:val="24"/>
          <w:szCs w:val="24"/>
          <w:lang w:val="en-US" w:eastAsia="zh-CN" w:bidi="ar"/>
        </w:rPr>
        <w:t>e</w:t>
      </w:r>
      <w:r>
        <w:rPr>
          <w:rFonts w:hint="default" w:ascii="Times New Roman" w:hAnsi="Times New Roman" w:eastAsia="宋体" w:cs="Times New Roman"/>
          <w:color w:val="auto"/>
          <w:kern w:val="2"/>
          <w:sz w:val="22"/>
          <w:szCs w:val="22"/>
          <w:lang w:val="en-US" w:eastAsia="zh-CN" w:bidi="ar"/>
        </w:rPr>
        <w:t>lectrolytic nickel for each standard warrant weighs six (6) metric tons. Difference between standard warrant weight and actual delivery weight shall not exceed plus or minus three percent (±3%). Pound difference shall not exceed plus or minus one-tenth of one percent (±0.1%).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nickel futures contract is six (6)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nickel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nickel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electrolytic nickel intended for delivery must be stored indoors.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commodity, and the Exchange will no longer accept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nickel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nickel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nickel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nickel futures contract is within ±4%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nickel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10"/>
        <w:gridCol w:w="1194"/>
        <w:gridCol w:w="1186"/>
        <w:gridCol w:w="1017"/>
        <w:gridCol w:w="1105"/>
        <w:gridCol w:w="819"/>
        <w:gridCol w:w="1106"/>
        <w:gridCol w:w="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2031"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prior to the delivery month</w:t>
            </w:r>
          </w:p>
        </w:tc>
        <w:tc>
          <w:tcPr>
            <w:tcW w:w="1151"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First month prior to the delivery month</w:t>
            </w:r>
          </w:p>
        </w:tc>
        <w:tc>
          <w:tcPr>
            <w:tcW w:w="115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4"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interest</w:t>
            </w:r>
          </w:p>
        </w:tc>
        <w:tc>
          <w:tcPr>
            <w:tcW w:w="1317"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Cs/>
                <w:color w:val="auto"/>
                <w:kern w:val="2"/>
                <w:sz w:val="22"/>
                <w:szCs w:val="22"/>
                <w:lang w:val="en-US" w:eastAsia="zh-CN" w:bidi="ar"/>
              </w:rPr>
              <w:t xml:space="preserve">Percentage-based Position Limit (%) and </w:t>
            </w:r>
            <w:r>
              <w:rPr>
                <w:rFonts w:hint="default" w:ascii="Times New Roman" w:hAnsi="Times New Roman" w:eastAsia="宋体" w:cs="Times New Roman"/>
                <w:color w:val="auto"/>
                <w:kern w:val="2"/>
                <w:sz w:val="22"/>
                <w:szCs w:val="22"/>
                <w:lang w:val="en-US" w:eastAsia="zh-CN" w:bidi="ar"/>
              </w:rPr>
              <w:t>fixed-amount Position Limit (in lots)</w:t>
            </w:r>
          </w:p>
        </w:tc>
        <w:tc>
          <w:tcPr>
            <w:tcW w:w="1151"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15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4"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6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61"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8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61"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9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nickel</w:t>
            </w:r>
          </w:p>
        </w:tc>
        <w:tc>
          <w:tcPr>
            <w:tcW w:w="71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≥60,000</w:t>
            </w: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61"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1,800</w:t>
            </w:r>
          </w:p>
        </w:tc>
        <w:tc>
          <w:tcPr>
            <w:tcW w:w="489"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1,800</w:t>
            </w:r>
          </w:p>
        </w:tc>
        <w:tc>
          <w:tcPr>
            <w:tcW w:w="661"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w:t>
            </w:r>
          </w:p>
        </w:tc>
        <w:tc>
          <w:tcPr>
            <w:tcW w:w="491"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eastAsia" w:ascii="宋体" w:hAnsi="宋体" w:eastAsia="宋体" w:cs="宋体"/>
                <w:bCs/>
                <w:color w:val="auto"/>
                <w:kern w:val="2"/>
                <w:sz w:val="22"/>
                <w:szCs w:val="22"/>
                <w:lang w:val="en-US" w:eastAsia="zh-CN" w:bidi="ar"/>
              </w:rPr>
              <w:t>＜</w:t>
            </w:r>
            <w:r>
              <w:rPr>
                <w:rFonts w:hint="default" w:ascii="Times New Roman" w:hAnsi="Times New Roman" w:eastAsia="宋体" w:cs="Times New Roman"/>
                <w:bCs/>
                <w:color w:val="auto"/>
                <w:kern w:val="2"/>
                <w:sz w:val="22"/>
                <w:szCs w:val="22"/>
                <w:lang w:val="en-US" w:eastAsia="zh-CN" w:bidi="ar"/>
              </w:rPr>
              <w:t>60,000</w:t>
            </w: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6,000</w:t>
            </w:r>
          </w:p>
        </w:tc>
        <w:tc>
          <w:tcPr>
            <w:tcW w:w="6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6,000</w:t>
            </w:r>
          </w:p>
        </w:tc>
        <w:tc>
          <w:tcPr>
            <w:tcW w:w="661"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89"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61"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1"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nickel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shall adjust</w:t>
      </w:r>
      <w:r>
        <w:rPr>
          <w:rFonts w:hint="default" w:ascii="Times New Roman" w:hAnsi="Times New Roman" w:eastAsia="宋体" w:cs="Times New Roman"/>
          <w:bCs/>
          <w:color w:val="auto"/>
          <w:kern w:val="0"/>
          <w:sz w:val="22"/>
          <w:szCs w:val="22"/>
          <w:lang w:val="en-US" w:eastAsia="zh-CN" w:bidi="ar"/>
        </w:rPr>
        <w:t xml:space="preserve"> 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six (6) lots and a one-day delay is allowed under special market conditions; in the delivery month,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six (6)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nickel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nickel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 nickel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 general positions eligible to fill the unfilled orders of any Trader with average gains on net positions of no less than three percent (3%) but no more than six percent (6%) of the settlement price on the base date for contracts with respect to nickel futures, or the General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 general positions eligible to fill the unfilled orders of a Trader with average gains on net positions of no more than three percent (3%) of the settlement price on the base date for contracts in nickel futures, or the General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 Trader with average gains on net positions of no less than six percent (6%) of the settlement price on the base date for contracts in nickel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 General Position Gains of Over 6% is greater than or equal to that of the unfilled orders, the unfilled orders shall be filled pro rata to the amount of the General Position Gains of Over 6%. If the amount of the General Position Gains of Over 6% is smaller than that of the unfilled orders, the General Position Gains of Over 6% shall be filled pro rata to the amount of the unfilled orders. The residual unfilled orders, if any, shall be filled with the General Positions Gains of Over 3% in the same manner as the foregoing, and if there are still orders remaining, the outstanding unfilled orders shall be filled to the General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Nickel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Nickel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Nickel Futures Rules</w:t>
      </w:r>
      <w:r>
        <w:rPr>
          <w:rFonts w:hint="default" w:ascii="Times New Roman" w:hAnsi="Times New Roman" w:eastAsia="宋体" w:cs="Times New Roman"/>
          <w:bCs/>
          <w:color w:val="auto"/>
          <w:kern w:val="2"/>
          <w:sz w:val="22"/>
          <w:szCs w:val="22"/>
          <w:lang w:val="en-US" w:eastAsia="zh-CN" w:bidi="ar"/>
        </w:rPr>
        <w:t xml:space="preserve"> take effect on </w:t>
      </w:r>
      <w:r>
        <w:rPr>
          <w:rFonts w:hint="eastAsia" w:ascii="Times New Roman" w:hAnsi="Times New Roman" w:eastAsia="宋体" w:cs="Times New Roman"/>
          <w:bCs/>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7ED640"/>
    <w:rsid w:val="DD7ED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2025-12-31T14:43:00Z</dcterms:created>
  <dc:creator>ji.shuoren</dc:creator>
  <cp:lastModifiedBy>ji.shuoren</cp:lastModifiedBy>
  <dcterms:modified xsi:type="dcterms:W3CDTF">2025-12-31T14:44:21Z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9526AB1C8ACE36862FC65469421E101D</vt:lpwstr>
  </property>
</Properties>
</file>