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2"/>
          <w:szCs w:val="22"/>
        </w:rPr>
      </w:pPr>
      <w:bookmarkStart w:id="8" w:name="_GoBack"/>
      <w:bookmarkStart w:id="0" w:name="_Hlk199411195"/>
      <w:r>
        <w:rPr>
          <w:sz w:val="22"/>
          <w:szCs w:val="22"/>
        </w:rPr>
        <w:t>FUTURES TRADING PARTICIPANT ELIGIBILITY MANAGEMENT RULES OF THE SHANGHAI FUTURES EXCHANGE</w:t>
      </w:r>
      <w:bookmarkEnd w:id="0"/>
      <w:bookmarkStart w:id="1" w:name="_Toc370311338"/>
      <w:bookmarkEnd w:id="1"/>
    </w:p>
    <w:p>
      <w:pPr>
        <w:pStyle w:val="4"/>
        <w:rPr>
          <w:sz w:val="22"/>
          <w:szCs w:val="22"/>
        </w:rPr>
      </w:pPr>
      <w:bookmarkStart w:id="2" w:name="_Toc380322202"/>
      <w:r>
        <w:rPr>
          <w:sz w:val="22"/>
          <w:szCs w:val="22"/>
        </w:rPr>
        <w:t>CHAPTER 1</w:t>
      </w:r>
      <w:r>
        <w:rPr>
          <w:sz w:val="22"/>
          <w:szCs w:val="22"/>
        </w:rPr>
        <w:tab/>
      </w:r>
      <w:r>
        <w:rPr>
          <w:sz w:val="22"/>
          <w:szCs w:val="22"/>
        </w:rPr>
        <w:t>GENERAL PROVISIONS</w:t>
      </w:r>
      <w:bookmarkEnd w:id="2"/>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1</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These </w:t>
      </w:r>
      <w:r>
        <w:rPr>
          <w:rFonts w:ascii="Times New Roman" w:hAnsi="Times New Roman" w:eastAsia="宋体" w:cs="Times New Roman"/>
          <w:i/>
          <w:iCs/>
          <w:sz w:val="22"/>
          <w:szCs w:val="22"/>
        </w:rPr>
        <w:t>Eligibility Rules</w:t>
      </w:r>
      <w:r>
        <w:rPr>
          <w:rFonts w:ascii="Times New Roman" w:hAnsi="Times New Roman" w:eastAsia="宋体" w:cs="Times New Roman"/>
          <w:sz w:val="22"/>
          <w:szCs w:val="22"/>
        </w:rPr>
        <w:t xml:space="preserve"> are made in accordance with the </w:t>
      </w:r>
      <w:r>
        <w:rPr>
          <w:rFonts w:ascii="Times New Roman" w:hAnsi="Times New Roman" w:eastAsia="宋体" w:cs="Times New Roman"/>
          <w:i/>
          <w:iCs/>
          <w:sz w:val="22"/>
          <w:szCs w:val="22"/>
        </w:rPr>
        <w:t>Regulation on the Administration of Futures Trading</w:t>
      </w:r>
      <w:r>
        <w:rPr>
          <w:rFonts w:ascii="Times New Roman" w:hAnsi="Times New Roman" w:eastAsia="宋体" w:cs="Times New Roman"/>
          <w:sz w:val="22"/>
          <w:szCs w:val="22"/>
        </w:rPr>
        <w:t xml:space="preserve">, </w:t>
      </w:r>
      <w:r>
        <w:rPr>
          <w:rFonts w:ascii="Times New Roman" w:hAnsi="Times New Roman" w:eastAsia="宋体" w:cs="Times New Roman"/>
          <w:i/>
          <w:iCs/>
          <w:sz w:val="22"/>
          <w:szCs w:val="22"/>
        </w:rPr>
        <w:t>Interim Measures for the Administration of Overseas Traders’ and Overseas Brokers’ Engagement in the Trading of Specified Domestic Futures Products</w:t>
      </w:r>
      <w:r>
        <w:rPr>
          <w:rFonts w:ascii="Times New Roman" w:hAnsi="Times New Roman" w:eastAsia="宋体" w:cs="Times New Roman"/>
          <w:sz w:val="22"/>
          <w:szCs w:val="22"/>
        </w:rPr>
        <w:t xml:space="preserve">, </w:t>
      </w:r>
      <w:r>
        <w:rPr>
          <w:rFonts w:ascii="Times New Roman" w:hAnsi="Times New Roman" w:eastAsia="宋体" w:cs="Times New Roman"/>
          <w:i/>
          <w:iCs/>
          <w:sz w:val="22"/>
          <w:szCs w:val="22"/>
        </w:rPr>
        <w:t>Measures for the Administration of Eligibility of Securities and Futures Investors</w:t>
      </w:r>
      <w:r>
        <w:rPr>
          <w:rFonts w:ascii="Times New Roman" w:hAnsi="Times New Roman" w:eastAsia="宋体" w:cs="Times New Roman"/>
          <w:sz w:val="22"/>
          <w:szCs w:val="22"/>
        </w:rPr>
        <w:t>, and other applicable laws and regulations as well as the</w:t>
      </w:r>
      <w:r>
        <w:rPr>
          <w:rFonts w:hint="eastAsia" w:ascii="Times New Roman" w:hAnsi="Times New Roman" w:eastAsia="宋体" w:cs="Times New Roman"/>
          <w:sz w:val="22"/>
          <w:szCs w:val="22"/>
        </w:rPr>
        <w:t xml:space="preserve"> </w:t>
      </w:r>
      <w:r>
        <w:rPr>
          <w:rFonts w:ascii="Times New Roman" w:hAnsi="Times New Roman" w:eastAsia="宋体" w:cs="Times New Roman"/>
          <w:sz w:val="22"/>
          <w:szCs w:val="22"/>
        </w:rPr>
        <w:t>rules of the Shanghai Futures Exchange (the “Exchange”) to guide traders to trade futures rationally, protect their lawful rights and interests, and ensure the smooth, regulated, and sound development of the futures market.</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2</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The </w:t>
      </w:r>
      <w:r>
        <w:rPr>
          <w:rFonts w:hint="eastAsia" w:ascii="Times New Roman" w:hAnsi="Times New Roman" w:eastAsia="宋体" w:cs="Times New Roman"/>
          <w:sz w:val="22"/>
          <w:szCs w:val="22"/>
        </w:rPr>
        <w:t>t</w:t>
      </w:r>
      <w:r>
        <w:rPr>
          <w:rFonts w:ascii="Times New Roman" w:hAnsi="Times New Roman" w:eastAsia="宋体" w:cs="Times New Roman"/>
          <w:sz w:val="22"/>
          <w:szCs w:val="22"/>
        </w:rPr>
        <w:t xml:space="preserve">rading of options and specified futures products on the Exchange shall be subject to these </w:t>
      </w:r>
      <w:r>
        <w:rPr>
          <w:rFonts w:ascii="Times New Roman" w:hAnsi="Times New Roman" w:eastAsia="宋体" w:cs="Times New Roman"/>
          <w:i/>
          <w:iCs/>
          <w:sz w:val="22"/>
          <w:szCs w:val="22"/>
        </w:rPr>
        <w:t>Eligibility Rules</w:t>
      </w:r>
      <w:r>
        <w:rPr>
          <w:rFonts w:ascii="Times New Roman" w:hAnsi="Times New Roman" w:eastAsia="宋体" w:cs="Times New Roman"/>
          <w:sz w:val="22"/>
          <w:szCs w:val="22"/>
        </w:rPr>
        <w:t xml:space="preserve">. </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3</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For the purpose of these </w:t>
      </w:r>
      <w:bookmarkStart w:id="3" w:name="OLE_LINK2"/>
      <w:r>
        <w:rPr>
          <w:rFonts w:ascii="Times New Roman" w:hAnsi="Times New Roman" w:eastAsia="宋体" w:cs="Times New Roman"/>
          <w:i/>
          <w:iCs/>
          <w:sz w:val="22"/>
          <w:szCs w:val="22"/>
        </w:rPr>
        <w:t xml:space="preserve">Eligibility </w:t>
      </w:r>
      <w:bookmarkEnd w:id="3"/>
      <w:r>
        <w:rPr>
          <w:rFonts w:ascii="Times New Roman" w:hAnsi="Times New Roman" w:eastAsia="宋体" w:cs="Times New Roman"/>
          <w:i/>
          <w:iCs/>
          <w:sz w:val="22"/>
          <w:szCs w:val="22"/>
        </w:rPr>
        <w:t>Rules</w:t>
      </w:r>
      <w:r>
        <w:rPr>
          <w:rFonts w:ascii="Times New Roman" w:hAnsi="Times New Roman" w:eastAsia="宋体" w:cs="Times New Roman"/>
          <w:sz w:val="22"/>
          <w:szCs w:val="22"/>
        </w:rPr>
        <w:t xml:space="preserve">, “trader” refers to a natural person, </w:t>
      </w:r>
      <w:r>
        <w:rPr>
          <w:rFonts w:hint="eastAsia" w:ascii="Times New Roman" w:hAnsi="Times New Roman" w:eastAsia="宋体" w:cs="Times New Roman"/>
          <w:sz w:val="22"/>
          <w:szCs w:val="22"/>
        </w:rPr>
        <w:t xml:space="preserve">legal person </w:t>
      </w:r>
      <w:r>
        <w:rPr>
          <w:rFonts w:ascii="Times New Roman" w:hAnsi="Times New Roman" w:eastAsia="宋体" w:cs="Times New Roman"/>
          <w:sz w:val="22"/>
          <w:szCs w:val="22"/>
        </w:rPr>
        <w:t>or unincorporated organization that engages in futures trading and accepts the trading results.</w:t>
      </w:r>
    </w:p>
    <w:p>
      <w:pPr>
        <w:widowControl/>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 xml:space="preserve">Traders shall, pursuant to these </w:t>
      </w:r>
      <w:r>
        <w:rPr>
          <w:rFonts w:ascii="Times New Roman" w:hAnsi="Times New Roman" w:eastAsia="宋体" w:cs="Times New Roman"/>
          <w:i/>
          <w:iCs/>
          <w:sz w:val="22"/>
          <w:szCs w:val="22"/>
        </w:rPr>
        <w:t>Eligibility Rules</w:t>
      </w:r>
      <w:r>
        <w:rPr>
          <w:rFonts w:ascii="Times New Roman" w:hAnsi="Times New Roman" w:eastAsia="宋体" w:cs="Times New Roman"/>
          <w:sz w:val="22"/>
          <w:szCs w:val="22"/>
        </w:rPr>
        <w:t>, comprehensively evaluate their knowledge of the market and products, capacity to control and bear risks, and financial position, before prudently deciding whether or not to participate in futures trading.</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4</w:t>
      </w:r>
      <w:r>
        <w:rPr>
          <w:rFonts w:ascii="Times New Roman" w:hAnsi="Times New Roman" w:eastAsia="宋体" w:cs="Times New Roman"/>
          <w:sz w:val="22"/>
          <w:szCs w:val="22"/>
        </w:rPr>
        <w:tab/>
      </w:r>
      <w:r>
        <w:rPr>
          <w:rFonts w:ascii="Times New Roman" w:hAnsi="Times New Roman" w:eastAsia="宋体" w:cs="Times New Roman"/>
          <w:sz w:val="22"/>
          <w:szCs w:val="22"/>
        </w:rPr>
        <w:t>Futures Firm Members (“FF Members”)</w:t>
      </w:r>
      <w:r>
        <w:rPr>
          <w:rFonts w:ascii="Times New Roman" w:hAnsi="Times New Roman" w:eastAsia="宋体" w:cs="Times New Roman"/>
          <w:bCs/>
          <w:sz w:val="22"/>
          <w:szCs w:val="22"/>
        </w:rPr>
        <w:t xml:space="preserve">, Overseas Special Brokerage Participants (“OSBPs”), Overseas Intermediaries, and other such institutions (collectively, “Account Opening Institutions”) </w:t>
      </w:r>
      <w:r>
        <w:rPr>
          <w:rFonts w:ascii="Times New Roman" w:hAnsi="Times New Roman" w:eastAsia="宋体" w:cs="Times New Roman"/>
          <w:sz w:val="22"/>
          <w:szCs w:val="22"/>
        </w:rPr>
        <w:t xml:space="preserve">shall provide suitable products to the eligible Clients after evaluating Clients’ knowledge of futures trading and risk tolerance in accordance with these </w:t>
      </w:r>
      <w:r>
        <w:rPr>
          <w:rFonts w:ascii="Times New Roman" w:hAnsi="Times New Roman" w:eastAsia="宋体" w:cs="Times New Roman"/>
          <w:i/>
          <w:iCs/>
          <w:sz w:val="22"/>
          <w:szCs w:val="22"/>
        </w:rPr>
        <w:t>Eligibility Rules</w:t>
      </w:r>
      <w:r>
        <w:rPr>
          <w:rFonts w:ascii="Times New Roman" w:hAnsi="Times New Roman" w:eastAsia="宋体" w:cs="Times New Roman"/>
          <w:sz w:val="22"/>
          <w:szCs w:val="22"/>
        </w:rPr>
        <w:t>.</w:t>
      </w:r>
    </w:p>
    <w:p>
      <w:pPr>
        <w:widowControl/>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 xml:space="preserve">Trading codes are subject to trading permission management. Upon assigning a trading code to a Client, an </w:t>
      </w:r>
      <w:r>
        <w:rPr>
          <w:rFonts w:ascii="Times New Roman" w:hAnsi="Times New Roman" w:eastAsia="宋体" w:cs="Times New Roman"/>
          <w:bCs/>
          <w:sz w:val="22"/>
          <w:szCs w:val="22"/>
        </w:rPr>
        <w:t>Account Opening Institution</w:t>
      </w:r>
      <w:r>
        <w:rPr>
          <w:rFonts w:ascii="Times New Roman" w:hAnsi="Times New Roman" w:eastAsia="宋体" w:cs="Times New Roman"/>
          <w:sz w:val="22"/>
          <w:szCs w:val="22"/>
        </w:rPr>
        <w:t xml:space="preserve"> shall give the Client access to trade corresponding listed products.</w:t>
      </w:r>
    </w:p>
    <w:p>
      <w:pPr>
        <w:pStyle w:val="4"/>
        <w:rPr>
          <w:sz w:val="22"/>
          <w:szCs w:val="22"/>
        </w:rPr>
      </w:pPr>
      <w:bookmarkStart w:id="4" w:name="_Toc380322203"/>
      <w:r>
        <w:rPr>
          <w:sz w:val="22"/>
          <w:szCs w:val="22"/>
        </w:rPr>
        <w:t>CHAPTER 2</w:t>
      </w:r>
      <w:r>
        <w:rPr>
          <w:sz w:val="22"/>
          <w:szCs w:val="22"/>
        </w:rPr>
        <w:tab/>
      </w:r>
      <w:r>
        <w:rPr>
          <w:sz w:val="22"/>
          <w:szCs w:val="22"/>
        </w:rPr>
        <w:t>ELIGIBILITY MANAGEMENT CRITERIA</w:t>
      </w:r>
      <w:bookmarkEnd w:id="4"/>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5</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When an </w:t>
      </w:r>
      <w:r>
        <w:rPr>
          <w:rFonts w:ascii="Times New Roman" w:hAnsi="Times New Roman" w:eastAsia="宋体" w:cs="Times New Roman"/>
          <w:bCs/>
          <w:sz w:val="22"/>
          <w:szCs w:val="22"/>
        </w:rPr>
        <w:t>Account Opening Institution</w:t>
      </w:r>
      <w:r>
        <w:rPr>
          <w:rFonts w:ascii="Times New Roman" w:hAnsi="Times New Roman" w:eastAsia="宋体" w:cs="Times New Roman"/>
          <w:sz w:val="22"/>
          <w:szCs w:val="22"/>
        </w:rPr>
        <w:t xml:space="preserve"> applies for a trading code or trading access for an institutional Client that intends to trade any listed products to which these </w:t>
      </w:r>
      <w:r>
        <w:rPr>
          <w:rFonts w:ascii="Times New Roman" w:hAnsi="Times New Roman" w:eastAsia="宋体" w:cs="Times New Roman"/>
          <w:i/>
          <w:iCs/>
          <w:sz w:val="22"/>
          <w:szCs w:val="22"/>
        </w:rPr>
        <w:t>Eligibility Rules</w:t>
      </w:r>
      <w:r>
        <w:rPr>
          <w:rFonts w:ascii="Times New Roman" w:hAnsi="Times New Roman" w:eastAsia="宋体" w:cs="Times New Roman"/>
          <w:iCs/>
          <w:sz w:val="22"/>
          <w:szCs w:val="22"/>
        </w:rPr>
        <w:t xml:space="preserve"> apply</w:t>
      </w:r>
      <w:r>
        <w:rPr>
          <w:rFonts w:ascii="Times New Roman" w:hAnsi="Times New Roman" w:eastAsia="宋体" w:cs="Times New Roman"/>
          <w:sz w:val="22"/>
          <w:szCs w:val="22"/>
        </w:rPr>
        <w:t>, such institutional Client shall:</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(i)</w:t>
      </w:r>
      <w:r>
        <w:rPr>
          <w:rFonts w:ascii="Times New Roman" w:hAnsi="Times New Roman" w:eastAsia="宋体" w:cs="Times New Roman"/>
          <w:sz w:val="22"/>
          <w:szCs w:val="22"/>
        </w:rPr>
        <w:tab/>
      </w:r>
      <w:r>
        <w:rPr>
          <w:rFonts w:ascii="Times New Roman" w:hAnsi="Times New Roman" w:eastAsia="宋体" w:cs="Times New Roman"/>
          <w:sz w:val="22"/>
          <w:szCs w:val="22"/>
        </w:rPr>
        <w:t>have the relevant personnel who possess basic knowledge of futures trading and understand relevant rules;</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(ii)</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have an aggregated record of mock trading for no less than ten (10) trading days and at least twenty (20) mock trades in futures or options contracts on domestic trading venues; or at least ten (10) actual trades in futures or options contracts, or other centrally cleared derivatives in the past three (3) years on domestic trading venues; or at least ten (10) actual trades in futures or options contracts, or other centrally cleared derivatives in the past three (3) years on overseas trading venues under the supervision of other national (regional) futures regulatory authorities that have signed memorandum of understanding on regulation cooperation with the China Securities Regulatory Commission (“CSRC”) (“recognized overseas trades”); </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(iii)</w:t>
      </w:r>
      <w:r>
        <w:rPr>
          <w:rFonts w:ascii="Times New Roman" w:hAnsi="Times New Roman" w:eastAsia="宋体" w:cs="Times New Roman"/>
          <w:sz w:val="22"/>
          <w:szCs w:val="22"/>
        </w:rPr>
        <w:tab/>
      </w:r>
      <w:r>
        <w:rPr>
          <w:rFonts w:ascii="Times New Roman" w:hAnsi="Times New Roman" w:eastAsia="宋体" w:cs="Times New Roman"/>
          <w:sz w:val="22"/>
          <w:szCs w:val="22"/>
        </w:rPr>
        <w:t>maintain a minimum daily available balance of one hundred thousand yuan (RMB100,000) or its equivalent in foreign currency in its margin account for the five (5) consecutive trading days immediately before the trading code or trading access application;</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(iv)</w:t>
      </w:r>
      <w:r>
        <w:rPr>
          <w:rFonts w:ascii="Times New Roman" w:hAnsi="Times New Roman" w:eastAsia="宋体" w:cs="Times New Roman"/>
          <w:sz w:val="22"/>
          <w:szCs w:val="22"/>
        </w:rPr>
        <w:tab/>
      </w:r>
      <w:r>
        <w:rPr>
          <w:rFonts w:ascii="Times New Roman" w:hAnsi="Times New Roman" w:eastAsia="宋体" w:cs="Times New Roman"/>
          <w:sz w:val="22"/>
          <w:szCs w:val="22"/>
        </w:rPr>
        <w:t>have robust internal control, risk management, and other futures trading management frameworks;</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(v)</w:t>
      </w:r>
      <w:r>
        <w:rPr>
          <w:rFonts w:ascii="Times New Roman" w:hAnsi="Times New Roman" w:eastAsia="宋体" w:cs="Times New Roman"/>
          <w:sz w:val="22"/>
          <w:szCs w:val="22"/>
        </w:rPr>
        <w:tab/>
      </w:r>
      <w:r>
        <w:rPr>
          <w:rFonts w:ascii="Times New Roman" w:hAnsi="Times New Roman" w:eastAsia="宋体" w:cs="Times New Roman"/>
          <w:sz w:val="22"/>
          <w:szCs w:val="22"/>
        </w:rPr>
        <w:t>have no major negative credibility record, have not been declared by competent regulators as being banned from the futures market, and is not under any circumstance which, by laws, regulations, administrative rules, or the rules of the Exchange, would prohibit or restrict it from engaging in futures trading; and</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(vi)</w:t>
      </w:r>
      <w:r>
        <w:rPr>
          <w:rFonts w:ascii="Times New Roman" w:hAnsi="Times New Roman" w:eastAsia="宋体" w:cs="Times New Roman"/>
          <w:sz w:val="22"/>
          <w:szCs w:val="22"/>
        </w:rPr>
        <w:tab/>
      </w:r>
      <w:r>
        <w:rPr>
          <w:rFonts w:ascii="Times New Roman" w:hAnsi="Times New Roman" w:eastAsia="宋体" w:cs="Times New Roman"/>
          <w:sz w:val="22"/>
          <w:szCs w:val="22"/>
        </w:rPr>
        <w:t>meet other criteria prescribed by the Exchange.</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6</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When an </w:t>
      </w:r>
      <w:r>
        <w:rPr>
          <w:rFonts w:ascii="Times New Roman" w:hAnsi="Times New Roman" w:eastAsia="宋体" w:cs="Times New Roman"/>
          <w:bCs/>
          <w:sz w:val="22"/>
          <w:szCs w:val="22"/>
        </w:rPr>
        <w:t>Account Opening Institution</w:t>
      </w:r>
      <w:r>
        <w:rPr>
          <w:rFonts w:ascii="Times New Roman" w:hAnsi="Times New Roman" w:eastAsia="宋体" w:cs="Times New Roman"/>
          <w:sz w:val="22"/>
          <w:szCs w:val="22"/>
        </w:rPr>
        <w:t xml:space="preserve"> applies for a trading code or trading access for an individual Client that intends to trade any listed products to which these </w:t>
      </w:r>
      <w:r>
        <w:rPr>
          <w:rFonts w:ascii="Times New Roman" w:hAnsi="Times New Roman" w:eastAsia="宋体" w:cs="Times New Roman"/>
          <w:i/>
          <w:sz w:val="22"/>
          <w:szCs w:val="22"/>
        </w:rPr>
        <w:t>Eligibility Rules</w:t>
      </w:r>
      <w:r>
        <w:rPr>
          <w:rFonts w:ascii="Times New Roman" w:hAnsi="Times New Roman" w:eastAsia="宋体" w:cs="Times New Roman"/>
          <w:sz w:val="22"/>
          <w:szCs w:val="22"/>
        </w:rPr>
        <w:t xml:space="preserve"> apply,, the individual Client shall:</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(i)</w:t>
      </w:r>
      <w:r>
        <w:rPr>
          <w:rFonts w:ascii="Times New Roman" w:hAnsi="Times New Roman" w:eastAsia="宋体" w:cs="Times New Roman"/>
          <w:sz w:val="22"/>
          <w:szCs w:val="22"/>
        </w:rPr>
        <w:tab/>
      </w:r>
      <w:r>
        <w:rPr>
          <w:rFonts w:ascii="Times New Roman" w:hAnsi="Times New Roman" w:eastAsia="宋体" w:cs="Times New Roman"/>
          <w:sz w:val="22"/>
          <w:szCs w:val="22"/>
        </w:rPr>
        <w:t>have full civil capacity;</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(ii)</w:t>
      </w:r>
      <w:r>
        <w:rPr>
          <w:rFonts w:ascii="Times New Roman" w:hAnsi="Times New Roman" w:eastAsia="宋体" w:cs="Times New Roman"/>
          <w:sz w:val="22"/>
          <w:szCs w:val="22"/>
        </w:rPr>
        <w:tab/>
      </w:r>
      <w:r>
        <w:rPr>
          <w:rFonts w:ascii="Times New Roman" w:hAnsi="Times New Roman" w:eastAsia="宋体" w:cs="Times New Roman"/>
          <w:sz w:val="22"/>
          <w:szCs w:val="22"/>
        </w:rPr>
        <w:t>possess basic knowledge of futures trading and understand the relevant rules;</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(iii)</w:t>
      </w:r>
      <w:r>
        <w:rPr>
          <w:rFonts w:ascii="Times New Roman" w:hAnsi="Times New Roman" w:eastAsia="宋体" w:cs="Times New Roman"/>
          <w:sz w:val="22"/>
          <w:szCs w:val="22"/>
        </w:rPr>
        <w:tab/>
      </w:r>
      <w:r>
        <w:rPr>
          <w:rFonts w:ascii="Times New Roman" w:hAnsi="Times New Roman" w:eastAsia="宋体" w:cs="Times New Roman"/>
          <w:sz w:val="22"/>
          <w:szCs w:val="22"/>
        </w:rPr>
        <w:t>has an aggregated record of mock trading for no less than ten (10) trading days and at least twenty (20) mock trades in futures or options contracts on domestic trading venues; or at least ten (10) actual trades in futures or options contracts, or other centrally cleared derivatives in the past three (3) years on domestic trading venues; or at least ten (10) recognized overseas trades in the past three (3) years;</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(iv)</w:t>
      </w:r>
      <w:r>
        <w:rPr>
          <w:rFonts w:ascii="Times New Roman" w:hAnsi="Times New Roman" w:eastAsia="宋体" w:cs="Times New Roman"/>
          <w:sz w:val="22"/>
          <w:szCs w:val="22"/>
        </w:rPr>
        <w:tab/>
      </w:r>
      <w:r>
        <w:rPr>
          <w:rFonts w:ascii="Times New Roman" w:hAnsi="Times New Roman" w:eastAsia="宋体" w:cs="Times New Roman"/>
          <w:sz w:val="22"/>
          <w:szCs w:val="22"/>
        </w:rPr>
        <w:t>maintain a minimum daily available balance of one hundred thousand yuan (RMB100,000) or its equivalent in foreign currency in its margin account for the five (5) consecutive trading days immediately before the trading code or trading access application;</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(v)</w:t>
      </w:r>
      <w:r>
        <w:rPr>
          <w:rFonts w:ascii="Times New Roman" w:hAnsi="Times New Roman" w:eastAsia="宋体" w:cs="Times New Roman"/>
          <w:sz w:val="22"/>
          <w:szCs w:val="22"/>
        </w:rPr>
        <w:tab/>
      </w:r>
      <w:r>
        <w:rPr>
          <w:rFonts w:ascii="Times New Roman" w:hAnsi="Times New Roman" w:eastAsia="宋体" w:cs="Times New Roman"/>
          <w:sz w:val="22"/>
          <w:szCs w:val="22"/>
        </w:rPr>
        <w:t>have no major negative credibility record, have not been declared by competent regulators as being banned from the futures market, and is not under any circumstance which, by laws, regulations, administrative rules, or the rules of the Exchange, would prohibit or restrict him or her from engaging in futures trading; and</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(vi)</w:t>
      </w:r>
      <w:r>
        <w:rPr>
          <w:rFonts w:ascii="Times New Roman" w:hAnsi="Times New Roman" w:eastAsia="宋体" w:cs="Times New Roman"/>
          <w:sz w:val="22"/>
          <w:szCs w:val="22"/>
        </w:rPr>
        <w:tab/>
      </w:r>
      <w:r>
        <w:rPr>
          <w:rFonts w:ascii="Times New Roman" w:hAnsi="Times New Roman" w:eastAsia="宋体" w:cs="Times New Roman"/>
          <w:sz w:val="22"/>
          <w:szCs w:val="22"/>
        </w:rPr>
        <w:t>meet other criteria prescribed by the Exchange.</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7</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For any Client that is permitted to trade in other listed products subject to the eligibility rules of a domestic trading venue, if the Client applies for a trading code or trading access at the Exchange, its carrying </w:t>
      </w:r>
      <w:r>
        <w:rPr>
          <w:rFonts w:ascii="Times New Roman" w:hAnsi="Times New Roman" w:eastAsia="宋体" w:cs="Times New Roman"/>
          <w:bCs/>
          <w:sz w:val="22"/>
          <w:szCs w:val="22"/>
        </w:rPr>
        <w:t>Account Opening Institution</w:t>
      </w:r>
      <w:r>
        <w:rPr>
          <w:rFonts w:ascii="Times New Roman" w:hAnsi="Times New Roman" w:eastAsia="宋体" w:cs="Times New Roman"/>
          <w:sz w:val="22"/>
          <w:szCs w:val="22"/>
        </w:rPr>
        <w:t xml:space="preserve"> may exempt the Client from Article 5(i) and (ii) or Article 6(ii) and (iii) of these </w:t>
      </w:r>
      <w:r>
        <w:rPr>
          <w:rFonts w:ascii="Times New Roman" w:hAnsi="Times New Roman" w:eastAsia="宋体" w:cs="Times New Roman"/>
          <w:i/>
          <w:iCs/>
          <w:sz w:val="22"/>
          <w:szCs w:val="22"/>
        </w:rPr>
        <w:t>Eligibility Rules</w:t>
      </w:r>
      <w:r>
        <w:rPr>
          <w:rFonts w:ascii="Times New Roman" w:hAnsi="Times New Roman" w:eastAsia="宋体" w:cs="Times New Roman"/>
          <w:sz w:val="22"/>
          <w:szCs w:val="22"/>
        </w:rPr>
        <w:t xml:space="preserve">, as applicable, when assessing its eligibility; where the funds requirement for the aforementioned listed products is equal to or higher than that set out in Article 5(iii) or Article 6(iv) of these </w:t>
      </w:r>
      <w:r>
        <w:rPr>
          <w:rFonts w:ascii="Times New Roman" w:hAnsi="Times New Roman" w:eastAsia="宋体" w:cs="Times New Roman"/>
          <w:i/>
          <w:iCs/>
          <w:sz w:val="22"/>
          <w:szCs w:val="22"/>
        </w:rPr>
        <w:t>Eligibility Rules</w:t>
      </w:r>
      <w:r>
        <w:rPr>
          <w:rFonts w:ascii="Times New Roman" w:hAnsi="Times New Roman" w:eastAsia="宋体" w:cs="Times New Roman"/>
          <w:sz w:val="22"/>
          <w:szCs w:val="22"/>
        </w:rPr>
        <w:t xml:space="preserve">, as applicable, the carrying </w:t>
      </w:r>
      <w:r>
        <w:rPr>
          <w:rFonts w:ascii="Times New Roman" w:hAnsi="Times New Roman" w:eastAsia="宋体" w:cs="Times New Roman"/>
          <w:bCs/>
          <w:sz w:val="22"/>
          <w:szCs w:val="22"/>
        </w:rPr>
        <w:t>Account Opening Institution</w:t>
      </w:r>
      <w:r>
        <w:rPr>
          <w:rFonts w:ascii="Times New Roman" w:hAnsi="Times New Roman" w:eastAsia="宋体" w:cs="Times New Roman"/>
          <w:sz w:val="22"/>
          <w:szCs w:val="22"/>
        </w:rPr>
        <w:t xml:space="preserve"> may exempt the Client from the funds balance assessment.</w:t>
      </w:r>
    </w:p>
    <w:p>
      <w:pPr>
        <w:widowControl/>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 xml:space="preserve">An </w:t>
      </w:r>
      <w:r>
        <w:rPr>
          <w:rFonts w:ascii="Times New Roman" w:hAnsi="Times New Roman" w:eastAsia="宋体" w:cs="Times New Roman"/>
          <w:bCs/>
          <w:sz w:val="22"/>
          <w:szCs w:val="22"/>
        </w:rPr>
        <w:t>Account Opening Institution</w:t>
      </w:r>
      <w:r>
        <w:rPr>
          <w:rFonts w:ascii="Times New Roman" w:hAnsi="Times New Roman" w:eastAsia="宋体" w:cs="Times New Roman"/>
          <w:sz w:val="22"/>
          <w:szCs w:val="22"/>
        </w:rPr>
        <w:t xml:space="preserve"> shall make full use of known information and available assessment results. A client that has obtained trading access of a listed product through its carrying </w:t>
      </w:r>
      <w:r>
        <w:rPr>
          <w:rFonts w:ascii="Times New Roman" w:hAnsi="Times New Roman" w:eastAsia="宋体" w:cs="Times New Roman"/>
          <w:bCs/>
          <w:sz w:val="22"/>
          <w:szCs w:val="22"/>
        </w:rPr>
        <w:t>Account Opening Institution</w:t>
      </w:r>
      <w:r>
        <w:rPr>
          <w:rFonts w:ascii="Times New Roman" w:hAnsi="Times New Roman" w:eastAsia="宋体" w:cs="Times New Roman"/>
          <w:sz w:val="22"/>
          <w:szCs w:val="22"/>
        </w:rPr>
        <w:t xml:space="preserve"> on the Exchange after passing an eligibility assessment may be automatically granted access to trade other listed products through the same </w:t>
      </w:r>
      <w:r>
        <w:rPr>
          <w:rFonts w:ascii="Times New Roman" w:hAnsi="Times New Roman" w:eastAsia="宋体" w:cs="Times New Roman"/>
          <w:bCs/>
          <w:sz w:val="22"/>
          <w:szCs w:val="22"/>
        </w:rPr>
        <w:t>Account Opening Institution</w:t>
      </w:r>
      <w:r>
        <w:rPr>
          <w:rFonts w:ascii="Times New Roman" w:hAnsi="Times New Roman" w:eastAsia="宋体" w:cs="Times New Roman"/>
          <w:sz w:val="22"/>
          <w:szCs w:val="22"/>
        </w:rPr>
        <w:t xml:space="preserve"> without being reassessed under Articles 5 and 6 of these </w:t>
      </w:r>
      <w:r>
        <w:rPr>
          <w:rFonts w:ascii="Times New Roman" w:hAnsi="Times New Roman" w:eastAsia="宋体" w:cs="Times New Roman"/>
          <w:i/>
          <w:iCs/>
          <w:sz w:val="22"/>
          <w:szCs w:val="22"/>
        </w:rPr>
        <w:t>Eligibility Rules</w:t>
      </w:r>
      <w:r>
        <w:rPr>
          <w:rFonts w:hint="eastAsia" w:ascii="Times New Roman" w:hAnsi="Times New Roman" w:eastAsia="宋体" w:cs="Times New Roman"/>
          <w:bCs/>
          <w:sz w:val="22"/>
          <w:szCs w:val="22"/>
        </w:rPr>
        <w:t>.</w:t>
      </w:r>
      <w:r>
        <w:rPr>
          <w:rFonts w:ascii="Times New Roman" w:hAnsi="Times New Roman" w:eastAsia="宋体" w:cs="Times New Roman"/>
          <w:bCs/>
          <w:sz w:val="22"/>
          <w:szCs w:val="22"/>
        </w:rPr>
        <w:t xml:space="preserve"> </w:t>
      </w:r>
      <w:r>
        <w:rPr>
          <w:rFonts w:hint="eastAsia" w:ascii="Times New Roman" w:hAnsi="Times New Roman" w:eastAsia="宋体" w:cs="Times New Roman"/>
          <w:bCs/>
          <w:sz w:val="22"/>
          <w:szCs w:val="22"/>
        </w:rPr>
        <w:t>W</w:t>
      </w:r>
      <w:r>
        <w:rPr>
          <w:rFonts w:ascii="Times New Roman" w:hAnsi="Times New Roman" w:eastAsia="宋体" w:cs="Times New Roman"/>
          <w:bCs/>
          <w:sz w:val="22"/>
          <w:szCs w:val="22"/>
        </w:rPr>
        <w:t>hen the</w:t>
      </w:r>
      <w:r>
        <w:rPr>
          <w:rFonts w:hint="eastAsia"/>
          <w:sz w:val="22"/>
          <w:szCs w:val="22"/>
        </w:rPr>
        <w:t xml:space="preserve"> </w:t>
      </w:r>
      <w:r>
        <w:rPr>
          <w:rFonts w:hint="eastAsia" w:ascii="Times New Roman" w:hAnsi="Times New Roman" w:eastAsia="宋体" w:cs="Times New Roman"/>
          <w:bCs/>
          <w:sz w:val="22"/>
          <w:szCs w:val="22"/>
        </w:rPr>
        <w:t>available balance</w:t>
      </w:r>
      <w:r>
        <w:rPr>
          <w:rFonts w:ascii="Times New Roman" w:hAnsi="Times New Roman" w:eastAsia="宋体" w:cs="Times New Roman"/>
          <w:bCs/>
          <w:sz w:val="22"/>
          <w:szCs w:val="22"/>
        </w:rPr>
        <w:t xml:space="preserve"> requirement of the listed product that a Client newly applies for trading is higher than that of the aforementioned products, the Account Opening Institution shall assess the Client’s </w:t>
      </w:r>
      <w:r>
        <w:rPr>
          <w:rFonts w:hint="eastAsia" w:ascii="Times New Roman" w:hAnsi="Times New Roman" w:eastAsia="宋体" w:cs="Times New Roman"/>
          <w:bCs/>
          <w:sz w:val="22"/>
          <w:szCs w:val="22"/>
        </w:rPr>
        <w:t xml:space="preserve">funds </w:t>
      </w:r>
      <w:r>
        <w:rPr>
          <w:rFonts w:ascii="Times New Roman" w:hAnsi="Times New Roman" w:eastAsia="宋体" w:cs="Times New Roman"/>
          <w:bCs/>
          <w:sz w:val="22"/>
          <w:szCs w:val="22"/>
        </w:rPr>
        <w:t>balance.</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8</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Unless otherwise prescribed by laws, regulations, administrative rules, and the CSRC, an </w:t>
      </w:r>
      <w:r>
        <w:rPr>
          <w:rFonts w:ascii="Times New Roman" w:hAnsi="Times New Roman" w:eastAsia="宋体" w:cs="Times New Roman"/>
          <w:bCs/>
          <w:sz w:val="22"/>
          <w:szCs w:val="22"/>
        </w:rPr>
        <w:t>Account Opening Institution</w:t>
      </w:r>
      <w:r>
        <w:rPr>
          <w:rFonts w:ascii="Times New Roman" w:hAnsi="Times New Roman" w:eastAsia="宋体" w:cs="Times New Roman"/>
          <w:sz w:val="22"/>
          <w:szCs w:val="22"/>
        </w:rPr>
        <w:t xml:space="preserve"> may, when applying for a trading code or trading access for a Client intending to trade any listed products to which these </w:t>
      </w:r>
      <w:r>
        <w:rPr>
          <w:rFonts w:ascii="Times New Roman" w:hAnsi="Times New Roman" w:eastAsia="宋体" w:cs="Times New Roman"/>
          <w:i/>
          <w:sz w:val="22"/>
          <w:szCs w:val="22"/>
        </w:rPr>
        <w:t>Eligibility Rules</w:t>
      </w:r>
      <w:r>
        <w:rPr>
          <w:rFonts w:ascii="Times New Roman" w:hAnsi="Times New Roman" w:eastAsia="宋体" w:cs="Times New Roman"/>
          <w:sz w:val="22"/>
          <w:szCs w:val="22"/>
        </w:rPr>
        <w:t xml:space="preserve"> apply, exempt such Client from Article 5(i) to (iii) or Article 6(ii) to (iv) of these </w:t>
      </w:r>
      <w:r>
        <w:rPr>
          <w:rFonts w:ascii="Times New Roman" w:hAnsi="Times New Roman" w:eastAsia="宋体" w:cs="Times New Roman"/>
          <w:i/>
          <w:iCs/>
          <w:sz w:val="22"/>
          <w:szCs w:val="22"/>
        </w:rPr>
        <w:t>Eligibility Rules</w:t>
      </w:r>
      <w:r>
        <w:rPr>
          <w:rFonts w:ascii="Times New Roman" w:hAnsi="Times New Roman" w:eastAsia="宋体" w:cs="Times New Roman"/>
          <w:sz w:val="22"/>
          <w:szCs w:val="22"/>
        </w:rPr>
        <w:t xml:space="preserve"> if the Client:</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(i)</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is a professional investor under the </w:t>
      </w:r>
      <w:r>
        <w:rPr>
          <w:rFonts w:ascii="Times New Roman" w:hAnsi="Times New Roman" w:eastAsia="宋体" w:cs="Times New Roman"/>
          <w:i/>
          <w:iCs/>
          <w:sz w:val="22"/>
          <w:szCs w:val="22"/>
        </w:rPr>
        <w:t>Measures for the Eligibility Management of  Securities and Futures Investors</w:t>
      </w:r>
      <w:r>
        <w:rPr>
          <w:rFonts w:ascii="Times New Roman" w:hAnsi="Times New Roman" w:eastAsia="宋体" w:cs="Times New Roman"/>
          <w:sz w:val="22"/>
          <w:szCs w:val="22"/>
        </w:rPr>
        <w:t>;</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(ii)</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has obtained the trading access for a product subject to the eligibility rules and is applying for the same trading access through another </w:t>
      </w:r>
      <w:r>
        <w:rPr>
          <w:rFonts w:ascii="Times New Roman" w:hAnsi="Times New Roman" w:eastAsia="宋体" w:cs="Times New Roman"/>
          <w:bCs/>
          <w:sz w:val="22"/>
          <w:szCs w:val="22"/>
        </w:rPr>
        <w:t>Account Opening Institution</w:t>
      </w:r>
      <w:r>
        <w:rPr>
          <w:rFonts w:ascii="Times New Roman" w:hAnsi="Times New Roman" w:eastAsia="宋体" w:cs="Times New Roman"/>
          <w:sz w:val="22"/>
          <w:szCs w:val="22"/>
        </w:rPr>
        <w:t>;</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(iii)</w:t>
      </w:r>
      <w:r>
        <w:rPr>
          <w:rFonts w:ascii="Times New Roman" w:hAnsi="Times New Roman" w:eastAsia="宋体" w:cs="Times New Roman"/>
          <w:sz w:val="22"/>
          <w:szCs w:val="22"/>
        </w:rPr>
        <w:tab/>
      </w:r>
      <w:r>
        <w:rPr>
          <w:rFonts w:ascii="Times New Roman" w:hAnsi="Times New Roman" w:eastAsia="宋体" w:cs="Times New Roman"/>
          <w:sz w:val="22"/>
          <w:szCs w:val="22"/>
        </w:rPr>
        <w:t>has an aggregated record of no less than fifty (50) days of trading futures or options contracts, or other centrally cleared derivatives in the past year on domestic trading venues; or</w:t>
      </w:r>
    </w:p>
    <w:p>
      <w:pPr>
        <w:widowControl/>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(iv)</w:t>
      </w:r>
      <w:r>
        <w:rPr>
          <w:rFonts w:ascii="Times New Roman" w:hAnsi="Times New Roman" w:eastAsia="宋体" w:cs="Times New Roman"/>
          <w:sz w:val="22"/>
          <w:szCs w:val="22"/>
        </w:rPr>
        <w:tab/>
      </w:r>
      <w:r>
        <w:rPr>
          <w:rFonts w:ascii="Times New Roman" w:hAnsi="Times New Roman" w:eastAsia="宋体" w:cs="Times New Roman"/>
          <w:sz w:val="22"/>
          <w:szCs w:val="22"/>
        </w:rPr>
        <w:t>is a market maker, special institutional Client, or any other type of exemptible trader recognized by the Exchange.</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9</w:t>
      </w:r>
      <w:r>
        <w:rPr>
          <w:rFonts w:ascii="Times New Roman" w:hAnsi="Times New Roman" w:eastAsia="宋体" w:cs="Times New Roman"/>
          <w:sz w:val="22"/>
          <w:szCs w:val="22"/>
        </w:rPr>
        <w:tab/>
      </w:r>
      <w:r>
        <w:rPr>
          <w:rFonts w:ascii="Times New Roman" w:hAnsi="Times New Roman" w:eastAsia="宋体" w:cs="Times New Roman"/>
          <w:sz w:val="22"/>
          <w:szCs w:val="22"/>
        </w:rPr>
        <w:t>The Exchange may adjust the trader eligibility criteria based on market conditions.</w:t>
      </w:r>
    </w:p>
    <w:p>
      <w:pPr>
        <w:pStyle w:val="4"/>
        <w:rPr>
          <w:sz w:val="22"/>
          <w:szCs w:val="22"/>
        </w:rPr>
      </w:pPr>
      <w:bookmarkStart w:id="5" w:name="_Toc380322204"/>
      <w:r>
        <w:rPr>
          <w:sz w:val="22"/>
          <w:szCs w:val="22"/>
        </w:rPr>
        <w:t>CHAPTER 3</w:t>
      </w:r>
      <w:r>
        <w:rPr>
          <w:sz w:val="22"/>
          <w:szCs w:val="22"/>
        </w:rPr>
        <w:tab/>
      </w:r>
      <w:r>
        <w:rPr>
          <w:sz w:val="22"/>
          <w:szCs w:val="22"/>
        </w:rPr>
        <w:t xml:space="preserve">IMPLEMENTATION OF THE ELIGIBILITY </w:t>
      </w:r>
      <w:r>
        <w:rPr>
          <w:rFonts w:hint="eastAsia"/>
          <w:sz w:val="22"/>
          <w:szCs w:val="22"/>
        </w:rPr>
        <w:t>RULES</w:t>
      </w:r>
      <w:bookmarkEnd w:id="5"/>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10</w:t>
      </w:r>
      <w:r>
        <w:rPr>
          <w:rFonts w:ascii="Times New Roman" w:hAnsi="Times New Roman" w:eastAsia="宋体" w:cs="Times New Roman"/>
          <w:sz w:val="22"/>
          <w:szCs w:val="22"/>
        </w:rPr>
        <w:tab/>
      </w:r>
      <w:r>
        <w:rPr>
          <w:rFonts w:ascii="Times New Roman" w:hAnsi="Times New Roman" w:eastAsia="宋体" w:cs="Times New Roman"/>
          <w:sz w:val="22"/>
          <w:szCs w:val="22"/>
        </w:rPr>
        <w:t>An</w:t>
      </w:r>
      <w:r>
        <w:rPr>
          <w:rFonts w:ascii="Times New Roman" w:hAnsi="Times New Roman" w:eastAsia="宋体" w:cs="Times New Roman"/>
          <w:bCs/>
          <w:sz w:val="22"/>
          <w:szCs w:val="22"/>
        </w:rPr>
        <w:t xml:space="preserve"> Account Opening Institution</w:t>
      </w:r>
      <w:r>
        <w:rPr>
          <w:rFonts w:ascii="Times New Roman" w:hAnsi="Times New Roman" w:eastAsia="宋体" w:cs="Times New Roman"/>
          <w:sz w:val="22"/>
          <w:szCs w:val="22"/>
        </w:rPr>
        <w:t xml:space="preserve"> shall, in accordance with the regulations of the CSRC and these </w:t>
      </w:r>
      <w:r>
        <w:rPr>
          <w:rFonts w:ascii="Times New Roman" w:hAnsi="Times New Roman" w:eastAsia="宋体" w:cs="Times New Roman"/>
          <w:i/>
          <w:iCs/>
          <w:sz w:val="22"/>
          <w:szCs w:val="22"/>
        </w:rPr>
        <w:t>Eligibility Rules</w:t>
      </w:r>
      <w:r>
        <w:rPr>
          <w:rFonts w:ascii="Times New Roman" w:hAnsi="Times New Roman" w:eastAsia="宋体" w:cs="Times New Roman"/>
          <w:sz w:val="22"/>
          <w:szCs w:val="22"/>
        </w:rPr>
        <w:t xml:space="preserve">, develop a sound, specific plan for </w:t>
      </w:r>
      <w:r>
        <w:rPr>
          <w:rFonts w:hint="eastAsia" w:ascii="Times New Roman" w:hAnsi="Times New Roman" w:eastAsia="宋体" w:cs="Times New Roman"/>
          <w:sz w:val="22"/>
          <w:szCs w:val="22"/>
        </w:rPr>
        <w:t>managing</w:t>
      </w:r>
      <w:r>
        <w:rPr>
          <w:rFonts w:ascii="Times New Roman" w:hAnsi="Times New Roman" w:eastAsia="宋体" w:cs="Times New Roman"/>
          <w:sz w:val="22"/>
          <w:szCs w:val="22"/>
        </w:rPr>
        <w:t xml:space="preserve"> Clients’ eligibility; improve its internal division of duties and business procedures; comprehensively evaluate their Clients’ basic information, relevant investment experience, financial position, credibility status, and other relevant areas; and, within three (3) trading days of granting or terminating any trading access, report to the Exchange the corresponding trading code and any change thereto.</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11</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An </w:t>
      </w:r>
      <w:r>
        <w:rPr>
          <w:rFonts w:ascii="Times New Roman" w:hAnsi="Times New Roman" w:eastAsia="宋体" w:cs="Times New Roman"/>
          <w:bCs/>
          <w:sz w:val="22"/>
          <w:szCs w:val="22"/>
        </w:rPr>
        <w:t>Account Opening Institution</w:t>
      </w:r>
      <w:r>
        <w:rPr>
          <w:rFonts w:ascii="Times New Roman" w:hAnsi="Times New Roman" w:eastAsia="宋体" w:cs="Times New Roman"/>
          <w:sz w:val="22"/>
          <w:szCs w:val="22"/>
        </w:rPr>
        <w:t xml:space="preserve"> shall establish and effectively implement an accountability mechanism for Client development to clarify relevant personnel’s responsibilities.</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12</w:t>
      </w:r>
      <w:r>
        <w:rPr>
          <w:rFonts w:ascii="Times New Roman" w:hAnsi="Times New Roman" w:eastAsia="宋体" w:cs="Times New Roman"/>
          <w:sz w:val="22"/>
          <w:szCs w:val="22"/>
        </w:rPr>
        <w:tab/>
      </w:r>
      <w:r>
        <w:rPr>
          <w:rFonts w:ascii="Times New Roman" w:hAnsi="Times New Roman" w:eastAsia="宋体" w:cs="Times New Roman"/>
          <w:bCs/>
          <w:sz w:val="22"/>
          <w:szCs w:val="22"/>
        </w:rPr>
        <w:t>Account Opening Institutions</w:t>
      </w:r>
      <w:r>
        <w:rPr>
          <w:rFonts w:ascii="Times New Roman" w:hAnsi="Times New Roman" w:eastAsia="宋体" w:cs="Times New Roman"/>
          <w:sz w:val="22"/>
          <w:szCs w:val="22"/>
        </w:rPr>
        <w:t xml:space="preserve"> shall fully inform their Clients of the risks associated with futures trading; objectively elucidate the laws and regulations governing futures trading, the rules, policies, and decisions of the Exchange, as well as the characteristics of relevant products; identify the Clients’ level of knowledge on futures trading; duly verify Clients’ funds balance and experience in futures trading and mock trading; prudently assess their credibility status and risk tolerance; and review their trading code or trading permission application materials and other account application materials.</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13</w:t>
      </w:r>
      <w:r>
        <w:rPr>
          <w:rFonts w:ascii="Times New Roman" w:hAnsi="Times New Roman" w:eastAsia="宋体" w:cs="Times New Roman"/>
          <w:sz w:val="22"/>
          <w:szCs w:val="22"/>
        </w:rPr>
        <w:tab/>
      </w:r>
      <w:r>
        <w:rPr>
          <w:rFonts w:ascii="Times New Roman" w:hAnsi="Times New Roman" w:eastAsia="宋体" w:cs="Times New Roman"/>
          <w:bCs/>
          <w:sz w:val="22"/>
          <w:szCs w:val="22"/>
        </w:rPr>
        <w:t>Account Opening Institutions</w:t>
      </w:r>
      <w:r>
        <w:rPr>
          <w:rFonts w:ascii="Times New Roman" w:hAnsi="Times New Roman" w:eastAsia="宋体" w:cs="Times New Roman"/>
          <w:sz w:val="22"/>
          <w:szCs w:val="22"/>
        </w:rPr>
        <w:t xml:space="preserve"> shall provide guidance to their Clients; cause their Clients to observe applicable laws, regulations, and administrative rules governing futures trading as well as the rules, policies, and decisions of the Exchange; organize risk awareness training for Clients on an ongoing basis; and strengthen the legal and regulatory compliance of their Clients’ trading activities.</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14</w:t>
      </w:r>
      <w:r>
        <w:rPr>
          <w:rFonts w:ascii="Times New Roman" w:hAnsi="Times New Roman" w:eastAsia="宋体" w:cs="Times New Roman"/>
          <w:sz w:val="22"/>
          <w:szCs w:val="22"/>
        </w:rPr>
        <w:tab/>
      </w:r>
      <w:r>
        <w:rPr>
          <w:rFonts w:ascii="Times New Roman" w:hAnsi="Times New Roman" w:eastAsia="宋体" w:cs="Times New Roman"/>
          <w:bCs/>
          <w:sz w:val="22"/>
          <w:szCs w:val="22"/>
        </w:rPr>
        <w:t>Account Opening Institutions</w:t>
      </w:r>
      <w:r>
        <w:rPr>
          <w:rFonts w:ascii="Times New Roman" w:hAnsi="Times New Roman" w:eastAsia="宋体" w:cs="Times New Roman"/>
          <w:sz w:val="22"/>
          <w:szCs w:val="22"/>
        </w:rPr>
        <w:t xml:space="preserve"> shall establish Client files and keep them safe and strictly confidential.</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15</w:t>
      </w:r>
      <w:r>
        <w:rPr>
          <w:rFonts w:ascii="Times New Roman" w:hAnsi="Times New Roman" w:eastAsia="宋体" w:cs="Times New Roman"/>
          <w:sz w:val="22"/>
          <w:szCs w:val="22"/>
        </w:rPr>
        <w:tab/>
      </w:r>
      <w:r>
        <w:rPr>
          <w:rFonts w:ascii="Times New Roman" w:hAnsi="Times New Roman" w:eastAsia="宋体" w:cs="Times New Roman"/>
          <w:bCs/>
          <w:sz w:val="22"/>
          <w:szCs w:val="22"/>
        </w:rPr>
        <w:t>Account Opening Institutions</w:t>
      </w:r>
      <w:r>
        <w:rPr>
          <w:rFonts w:ascii="Times New Roman" w:hAnsi="Times New Roman" w:eastAsia="宋体" w:cs="Times New Roman"/>
          <w:sz w:val="22"/>
          <w:szCs w:val="22"/>
        </w:rPr>
        <w:t xml:space="preserve"> shall establish reasonable channels for receiving Client complaints, inform Clients of the methods and procedures for filing a complaint, properly resolve disputes, and supervise Clients to lawfully protect their rights and interests.</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16</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Traders shall guarantee the authenticity and truthfulness of the trading code or trading permission application materials and other account application materials, and shall not submit false information or resort to other means to circumvent the requirements prescribed in these </w:t>
      </w:r>
      <w:r>
        <w:rPr>
          <w:rFonts w:ascii="Times New Roman" w:hAnsi="Times New Roman" w:eastAsia="宋体" w:cs="Times New Roman"/>
          <w:i/>
          <w:sz w:val="22"/>
          <w:szCs w:val="22"/>
        </w:rPr>
        <w:t>Eligibility Rules</w:t>
      </w:r>
      <w:r>
        <w:rPr>
          <w:rFonts w:ascii="Times New Roman" w:hAnsi="Times New Roman" w:eastAsia="宋体" w:cs="Times New Roman"/>
          <w:sz w:val="22"/>
          <w:szCs w:val="22"/>
        </w:rPr>
        <w:t>.</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17</w:t>
      </w:r>
      <w:r>
        <w:rPr>
          <w:rFonts w:ascii="Times New Roman" w:hAnsi="Times New Roman" w:eastAsia="宋体" w:cs="Times New Roman"/>
          <w:b/>
          <w:bCs/>
          <w:sz w:val="22"/>
          <w:szCs w:val="22"/>
        </w:rPr>
        <w:tab/>
      </w:r>
      <w:r>
        <w:rPr>
          <w:rFonts w:ascii="Times New Roman" w:hAnsi="Times New Roman" w:eastAsia="宋体" w:cs="Times New Roman"/>
          <w:sz w:val="22"/>
          <w:szCs w:val="22"/>
        </w:rPr>
        <w:t>Traders shall assume the consequences of their trades, shall perform the contractual obligations with respect to their futures transactions, and shall not repudiate such contractual obligations on the grounds that they do not meet trader eligibility criteria.</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18</w:t>
      </w:r>
      <w:r>
        <w:rPr>
          <w:rFonts w:ascii="Times New Roman" w:hAnsi="Times New Roman" w:eastAsia="宋体" w:cs="Times New Roman"/>
          <w:sz w:val="22"/>
          <w:szCs w:val="22"/>
        </w:rPr>
        <w:tab/>
      </w:r>
      <w:r>
        <w:rPr>
          <w:rFonts w:ascii="Times New Roman" w:hAnsi="Times New Roman" w:eastAsia="宋体" w:cs="Times New Roman"/>
          <w:sz w:val="22"/>
          <w:szCs w:val="22"/>
        </w:rPr>
        <w:t>Traders shall safeguard their legitimate rights and interests through lawful channels in accordance with laws and regulations, and shall not undermine national, public, or collective interests or the lawful rights and interests of others, nor disrupt the public order or the normal functioning of the Exchange and related organizations.</w:t>
      </w:r>
    </w:p>
    <w:p>
      <w:pPr>
        <w:tabs>
          <w:tab w:val="left" w:pos="1276"/>
        </w:tabs>
        <w:adjustRightInd w:val="0"/>
        <w:snapToGrid w:val="0"/>
        <w:spacing w:after="312" w:afterLines="100" w:line="259" w:lineRule="auto"/>
        <w:jc w:val="left"/>
        <w:rPr>
          <w:rFonts w:ascii="Times New Roman" w:hAnsi="Times New Roman" w:eastAsia="宋体" w:cs="Times New Roman"/>
          <w:bCs/>
          <w:sz w:val="22"/>
          <w:szCs w:val="22"/>
        </w:rPr>
      </w:pPr>
      <w:r>
        <w:rPr>
          <w:rFonts w:ascii="Times New Roman" w:hAnsi="Times New Roman" w:eastAsia="宋体" w:cs="Times New Roman"/>
          <w:b/>
          <w:bCs/>
          <w:sz w:val="22"/>
          <w:szCs w:val="22"/>
        </w:rPr>
        <w:t>Article 19</w:t>
      </w:r>
      <w:r>
        <w:rPr>
          <w:rFonts w:ascii="Times New Roman" w:hAnsi="Times New Roman" w:eastAsia="宋体" w:cs="Times New Roman"/>
          <w:b/>
          <w:bCs/>
          <w:sz w:val="22"/>
          <w:szCs w:val="22"/>
        </w:rPr>
        <w:tab/>
      </w:r>
      <w:r>
        <w:rPr>
          <w:rFonts w:ascii="Times New Roman" w:hAnsi="Times New Roman" w:eastAsia="宋体" w:cs="Times New Roman"/>
          <w:bCs/>
          <w:kern w:val="0"/>
          <w:sz w:val="22"/>
          <w:szCs w:val="22"/>
        </w:rPr>
        <w:t>If an FF Member or OSBP has a clearing service agreement or carrying-brokerage service agreement with an Overseas Intermediary, such FF Member or OSBP shall establish collaboration rules and implement the trader eligibility requirements.</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20</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An </w:t>
      </w:r>
      <w:r>
        <w:rPr>
          <w:rFonts w:ascii="Times New Roman" w:hAnsi="Times New Roman" w:eastAsia="宋体" w:cs="Times New Roman"/>
          <w:bCs/>
          <w:sz w:val="22"/>
          <w:szCs w:val="22"/>
        </w:rPr>
        <w:t>Account Opening Institution</w:t>
      </w:r>
      <w:r>
        <w:rPr>
          <w:rFonts w:ascii="Times New Roman" w:hAnsi="Times New Roman" w:eastAsia="宋体" w:cs="Times New Roman"/>
          <w:sz w:val="22"/>
          <w:szCs w:val="22"/>
        </w:rPr>
        <w:t xml:space="preserve"> that au</w:t>
      </w:r>
      <w:bookmarkStart w:id="6" w:name="OLE_LINK8"/>
      <w:r>
        <w:rPr>
          <w:rFonts w:ascii="Times New Roman" w:hAnsi="Times New Roman" w:eastAsia="宋体" w:cs="Times New Roman"/>
          <w:sz w:val="22"/>
          <w:szCs w:val="22"/>
        </w:rPr>
        <w:t>thorizes companies providing introducing broker (IB) services to assist with trading code or trading access application procedures shall establish</w:t>
      </w:r>
      <w:r>
        <w:rPr>
          <w:rFonts w:hint="eastAsia"/>
          <w:sz w:val="22"/>
          <w:szCs w:val="22"/>
        </w:rPr>
        <w:t xml:space="preserve"> </w:t>
      </w:r>
      <w:r>
        <w:rPr>
          <w:rFonts w:hint="eastAsia" w:ascii="Times New Roman" w:hAnsi="Times New Roman" w:eastAsia="宋体" w:cs="Times New Roman"/>
          <w:sz w:val="22"/>
          <w:szCs w:val="22"/>
        </w:rPr>
        <w:t xml:space="preserve">on-boarding rules </w:t>
      </w:r>
      <w:r>
        <w:rPr>
          <w:rFonts w:ascii="Times New Roman" w:hAnsi="Times New Roman" w:eastAsia="宋体" w:cs="Times New Roman"/>
          <w:sz w:val="22"/>
          <w:szCs w:val="22"/>
        </w:rPr>
        <w:t xml:space="preserve">with such companies, implement relevant requirements in these </w:t>
      </w:r>
      <w:r>
        <w:rPr>
          <w:rFonts w:ascii="Times New Roman" w:hAnsi="Times New Roman" w:eastAsia="宋体" w:cs="Times New Roman"/>
          <w:i/>
          <w:sz w:val="22"/>
          <w:szCs w:val="22"/>
        </w:rPr>
        <w:t>Eligibility Rules</w:t>
      </w:r>
      <w:r>
        <w:rPr>
          <w:rFonts w:ascii="Times New Roman" w:hAnsi="Times New Roman" w:eastAsia="宋体" w:cs="Times New Roman"/>
          <w:sz w:val="22"/>
          <w:szCs w:val="22"/>
        </w:rPr>
        <w:t>, and review the relevant procedures of the c</w:t>
      </w:r>
      <w:bookmarkEnd w:id="6"/>
      <w:r>
        <w:rPr>
          <w:rFonts w:ascii="Times New Roman" w:hAnsi="Times New Roman" w:eastAsia="宋体" w:cs="Times New Roman"/>
          <w:sz w:val="22"/>
          <w:szCs w:val="22"/>
        </w:rPr>
        <w:t xml:space="preserve">ompanies. </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21</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The Exchange shall conduct inspections on </w:t>
      </w:r>
      <w:r>
        <w:rPr>
          <w:rFonts w:ascii="Times New Roman" w:hAnsi="Times New Roman" w:eastAsia="宋体" w:cs="Times New Roman"/>
          <w:bCs/>
          <w:sz w:val="22"/>
          <w:szCs w:val="22"/>
        </w:rPr>
        <w:t>Account Opening Institutions</w:t>
      </w:r>
      <w:r>
        <w:rPr>
          <w:rFonts w:ascii="Times New Roman" w:hAnsi="Times New Roman" w:eastAsia="宋体" w:cs="Times New Roman"/>
          <w:sz w:val="22"/>
          <w:szCs w:val="22"/>
        </w:rPr>
        <w:t xml:space="preserve"> on the implementation of these </w:t>
      </w:r>
      <w:r>
        <w:rPr>
          <w:rFonts w:ascii="Times New Roman" w:hAnsi="Times New Roman" w:eastAsia="宋体" w:cs="Times New Roman"/>
          <w:i/>
          <w:sz w:val="22"/>
          <w:szCs w:val="22"/>
        </w:rPr>
        <w:t>Eligibility Rules</w:t>
      </w:r>
      <w:r>
        <w:rPr>
          <w:rFonts w:ascii="Times New Roman" w:hAnsi="Times New Roman" w:eastAsia="宋体" w:cs="Times New Roman"/>
          <w:sz w:val="22"/>
          <w:szCs w:val="22"/>
        </w:rPr>
        <w:t>.</w:t>
      </w:r>
    </w:p>
    <w:p>
      <w:pPr>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Cs/>
          <w:sz w:val="22"/>
          <w:szCs w:val="22"/>
        </w:rPr>
        <w:t>Account Opening Institutions</w:t>
      </w:r>
      <w:r>
        <w:rPr>
          <w:rFonts w:ascii="Times New Roman" w:hAnsi="Times New Roman" w:eastAsia="宋体" w:cs="Times New Roman"/>
          <w:sz w:val="22"/>
          <w:szCs w:val="22"/>
        </w:rPr>
        <w:t xml:space="preserve"> shall cooperate with the inspection and provide accurate and true information regarding Clients’ trading code or trading access application materials, other account opening materials, and funds account statements, and shall not conceal any information, obstruct the inspection, or refuse to cooperate.</w:t>
      </w:r>
    </w:p>
    <w:p>
      <w:pPr>
        <w:pStyle w:val="4"/>
        <w:rPr>
          <w:sz w:val="22"/>
          <w:szCs w:val="22"/>
        </w:rPr>
      </w:pPr>
      <w:bookmarkStart w:id="7" w:name="_Toc380322206"/>
      <w:r>
        <w:rPr>
          <w:sz w:val="22"/>
          <w:szCs w:val="22"/>
        </w:rPr>
        <w:t>CHAPTER 4</w:t>
      </w:r>
      <w:r>
        <w:rPr>
          <w:sz w:val="22"/>
          <w:szCs w:val="22"/>
        </w:rPr>
        <w:tab/>
      </w:r>
      <w:r>
        <w:rPr>
          <w:sz w:val="22"/>
          <w:szCs w:val="22"/>
        </w:rPr>
        <w:t>MISCELLANEOUS</w:t>
      </w:r>
      <w:bookmarkEnd w:id="7"/>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22</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Any violation of these </w:t>
      </w:r>
      <w:r>
        <w:rPr>
          <w:rFonts w:ascii="Times New Roman" w:hAnsi="Times New Roman" w:eastAsia="宋体" w:cs="Times New Roman"/>
          <w:i/>
          <w:iCs/>
          <w:sz w:val="22"/>
          <w:szCs w:val="22"/>
        </w:rPr>
        <w:t>Eligibility Rules</w:t>
      </w:r>
      <w:r>
        <w:rPr>
          <w:rFonts w:ascii="Times New Roman" w:hAnsi="Times New Roman" w:eastAsia="宋体" w:cs="Times New Roman"/>
          <w:sz w:val="22"/>
          <w:szCs w:val="22"/>
        </w:rPr>
        <w:t xml:space="preserve"> </w:t>
      </w:r>
      <w:r>
        <w:rPr>
          <w:rFonts w:hint="eastAsia" w:ascii="Times New Roman" w:hAnsi="Times New Roman" w:eastAsia="宋体" w:cs="Times New Roman"/>
          <w:sz w:val="22"/>
          <w:szCs w:val="22"/>
        </w:rPr>
        <w:t>will</w:t>
      </w:r>
      <w:r>
        <w:rPr>
          <w:rFonts w:ascii="Times New Roman" w:hAnsi="Times New Roman" w:eastAsia="宋体" w:cs="Times New Roman"/>
          <w:sz w:val="22"/>
          <w:szCs w:val="22"/>
        </w:rPr>
        <w:t xml:space="preserve"> be handled by the Exchange in accordance with the </w:t>
      </w:r>
      <w:r>
        <w:rPr>
          <w:rFonts w:ascii="Times New Roman" w:hAnsi="Times New Roman" w:eastAsia="宋体" w:cs="Times New Roman"/>
          <w:i/>
          <w:iCs/>
          <w:sz w:val="22"/>
          <w:szCs w:val="22"/>
        </w:rPr>
        <w:t>Enforcement Rules of the Shanghai Futures Exchange</w:t>
      </w:r>
      <w:r>
        <w:rPr>
          <w:rFonts w:ascii="Times New Roman" w:hAnsi="Times New Roman" w:eastAsia="宋体" w:cs="Times New Roman"/>
          <w:sz w:val="22"/>
          <w:szCs w:val="22"/>
        </w:rPr>
        <w:t>.</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23</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The Exchange reserves the right to interpret these </w:t>
      </w:r>
      <w:r>
        <w:rPr>
          <w:rFonts w:ascii="Times New Roman" w:hAnsi="Times New Roman" w:eastAsia="宋体" w:cs="Times New Roman"/>
          <w:i/>
          <w:iCs/>
          <w:sz w:val="22"/>
          <w:szCs w:val="22"/>
        </w:rPr>
        <w:t>Eligibility Rules</w:t>
      </w:r>
      <w:r>
        <w:rPr>
          <w:rFonts w:ascii="Times New Roman" w:hAnsi="Times New Roman" w:eastAsia="宋体" w:cs="Times New Roman"/>
          <w:sz w:val="22"/>
          <w:szCs w:val="22"/>
        </w:rPr>
        <w:t>.</w:t>
      </w:r>
    </w:p>
    <w:p>
      <w:pPr>
        <w:tabs>
          <w:tab w:val="left" w:pos="1276"/>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b/>
          <w:bCs/>
          <w:sz w:val="22"/>
          <w:szCs w:val="22"/>
        </w:rPr>
        <w:t>Article 24</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These </w:t>
      </w:r>
      <w:r>
        <w:rPr>
          <w:rFonts w:ascii="Times New Roman" w:hAnsi="Times New Roman" w:eastAsia="宋体" w:cs="Times New Roman"/>
          <w:i/>
          <w:iCs/>
          <w:sz w:val="22"/>
          <w:szCs w:val="22"/>
        </w:rPr>
        <w:t>Eligibility Rules</w:t>
      </w:r>
      <w:r>
        <w:rPr>
          <w:rFonts w:ascii="Times New Roman" w:hAnsi="Times New Roman" w:eastAsia="宋体" w:cs="Times New Roman"/>
          <w:sz w:val="22"/>
          <w:szCs w:val="22"/>
        </w:rPr>
        <w:t xml:space="preserve"> shall take effect on </w:t>
      </w:r>
      <w:r>
        <w:rPr>
          <w:rFonts w:ascii="Times New Roman" w:hAnsi="Times New Roman" w:eastAsia="仿宋_GB2312"/>
          <w:kern w:val="0"/>
          <w:sz w:val="22"/>
        </w:rPr>
        <w:t>August 8, 2025</w:t>
      </w:r>
      <w:r>
        <w:rPr>
          <w:rFonts w:ascii="Times New Roman" w:hAnsi="Times New Roman" w:eastAsia="宋体" w:cs="Times New Roman"/>
          <w:sz w:val="22"/>
          <w:szCs w:val="22"/>
        </w:rPr>
        <w:t>.</w:t>
      </w:r>
    </w:p>
    <w:bookmarkEnd w:id="8"/>
    <w:sectPr>
      <w:headerReference r:id="rId5" w:type="default"/>
      <w:footerReference r:id="rId6" w:type="default"/>
      <w:pgSz w:w="11906" w:h="16838"/>
      <w:pgMar w:top="1440" w:right="1440" w:bottom="1440" w:left="1440" w:header="851" w:footer="7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roman"/>
    <w:pitch w:val="default"/>
    <w:sig w:usb0="00000000" w:usb1="00000000" w:usb2="00000016" w:usb3="00000000" w:csb0="0004000F" w:csb1="00000000"/>
  </w:font>
  <w:font w:name="方正大标宋简体">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cs="Times New Roman"/>
        <w:sz w:val="20"/>
        <w:szCs w:val="20"/>
      </w:rPr>
    </w:sdtEndPr>
    <w:sdtContent>
      <w:p>
        <w:pPr>
          <w:pStyle w:val="13"/>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5</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E1"/>
    <w:rsid w:val="000345E8"/>
    <w:rsid w:val="00041E82"/>
    <w:rsid w:val="00043E5E"/>
    <w:rsid w:val="00056C68"/>
    <w:rsid w:val="000619C1"/>
    <w:rsid w:val="000B61F1"/>
    <w:rsid w:val="000C1579"/>
    <w:rsid w:val="001005A6"/>
    <w:rsid w:val="0011058A"/>
    <w:rsid w:val="00134B55"/>
    <w:rsid w:val="00157F0E"/>
    <w:rsid w:val="00177409"/>
    <w:rsid w:val="001A6C3C"/>
    <w:rsid w:val="001A76DF"/>
    <w:rsid w:val="001B099D"/>
    <w:rsid w:val="001B417E"/>
    <w:rsid w:val="001C50CE"/>
    <w:rsid w:val="001C624A"/>
    <w:rsid w:val="001D6F22"/>
    <w:rsid w:val="001F3FA0"/>
    <w:rsid w:val="001F724F"/>
    <w:rsid w:val="002344AF"/>
    <w:rsid w:val="00244DEE"/>
    <w:rsid w:val="002456C1"/>
    <w:rsid w:val="0025580E"/>
    <w:rsid w:val="002932DE"/>
    <w:rsid w:val="002961C1"/>
    <w:rsid w:val="002B556C"/>
    <w:rsid w:val="002C7A7E"/>
    <w:rsid w:val="00305A8C"/>
    <w:rsid w:val="00306AFE"/>
    <w:rsid w:val="003319D7"/>
    <w:rsid w:val="0036226D"/>
    <w:rsid w:val="00372F81"/>
    <w:rsid w:val="003755EA"/>
    <w:rsid w:val="0039104A"/>
    <w:rsid w:val="003A2DAD"/>
    <w:rsid w:val="004137AC"/>
    <w:rsid w:val="00432653"/>
    <w:rsid w:val="00443019"/>
    <w:rsid w:val="004544C9"/>
    <w:rsid w:val="00463F7F"/>
    <w:rsid w:val="00487A3C"/>
    <w:rsid w:val="004A1780"/>
    <w:rsid w:val="004B03E1"/>
    <w:rsid w:val="004B3318"/>
    <w:rsid w:val="004C029D"/>
    <w:rsid w:val="004C4B24"/>
    <w:rsid w:val="004D1217"/>
    <w:rsid w:val="00514956"/>
    <w:rsid w:val="00522F87"/>
    <w:rsid w:val="00550737"/>
    <w:rsid w:val="00551347"/>
    <w:rsid w:val="00575F88"/>
    <w:rsid w:val="006342D1"/>
    <w:rsid w:val="0064327B"/>
    <w:rsid w:val="00643682"/>
    <w:rsid w:val="00673B4F"/>
    <w:rsid w:val="006C5EBF"/>
    <w:rsid w:val="006F15C1"/>
    <w:rsid w:val="00726C53"/>
    <w:rsid w:val="007356A1"/>
    <w:rsid w:val="0074600E"/>
    <w:rsid w:val="0074762A"/>
    <w:rsid w:val="00750099"/>
    <w:rsid w:val="00770D51"/>
    <w:rsid w:val="00777376"/>
    <w:rsid w:val="0078786E"/>
    <w:rsid w:val="007A590A"/>
    <w:rsid w:val="007C1056"/>
    <w:rsid w:val="007D2516"/>
    <w:rsid w:val="007E091C"/>
    <w:rsid w:val="007F15CD"/>
    <w:rsid w:val="00827EB1"/>
    <w:rsid w:val="008363D4"/>
    <w:rsid w:val="00850B33"/>
    <w:rsid w:val="0085497E"/>
    <w:rsid w:val="008730B1"/>
    <w:rsid w:val="00887CFE"/>
    <w:rsid w:val="008A7AE7"/>
    <w:rsid w:val="008C2292"/>
    <w:rsid w:val="008C77F5"/>
    <w:rsid w:val="008D1B0C"/>
    <w:rsid w:val="009010A0"/>
    <w:rsid w:val="009637D6"/>
    <w:rsid w:val="0096699D"/>
    <w:rsid w:val="009D745A"/>
    <w:rsid w:val="00A03E4A"/>
    <w:rsid w:val="00A121F7"/>
    <w:rsid w:val="00A404FD"/>
    <w:rsid w:val="00A56BB0"/>
    <w:rsid w:val="00A61478"/>
    <w:rsid w:val="00A63BE9"/>
    <w:rsid w:val="00A6625F"/>
    <w:rsid w:val="00A814F1"/>
    <w:rsid w:val="00A851CA"/>
    <w:rsid w:val="00AA1F40"/>
    <w:rsid w:val="00AB1585"/>
    <w:rsid w:val="00AC2A81"/>
    <w:rsid w:val="00AD228A"/>
    <w:rsid w:val="00B2645A"/>
    <w:rsid w:val="00B35F69"/>
    <w:rsid w:val="00B367FD"/>
    <w:rsid w:val="00B423F3"/>
    <w:rsid w:val="00B72AEE"/>
    <w:rsid w:val="00B73499"/>
    <w:rsid w:val="00B745BA"/>
    <w:rsid w:val="00B77DA7"/>
    <w:rsid w:val="00B80AFA"/>
    <w:rsid w:val="00B829BE"/>
    <w:rsid w:val="00B83B89"/>
    <w:rsid w:val="00B93329"/>
    <w:rsid w:val="00BA6B02"/>
    <w:rsid w:val="00BB0E80"/>
    <w:rsid w:val="00BC0F53"/>
    <w:rsid w:val="00C10068"/>
    <w:rsid w:val="00C12CB1"/>
    <w:rsid w:val="00C31B25"/>
    <w:rsid w:val="00C357BA"/>
    <w:rsid w:val="00C51440"/>
    <w:rsid w:val="00CA7D23"/>
    <w:rsid w:val="00D00700"/>
    <w:rsid w:val="00D16BF6"/>
    <w:rsid w:val="00D1797C"/>
    <w:rsid w:val="00D263A9"/>
    <w:rsid w:val="00D32FD5"/>
    <w:rsid w:val="00D40610"/>
    <w:rsid w:val="00D8428E"/>
    <w:rsid w:val="00D914E8"/>
    <w:rsid w:val="00DA1570"/>
    <w:rsid w:val="00DA2594"/>
    <w:rsid w:val="00DB3663"/>
    <w:rsid w:val="00E022FF"/>
    <w:rsid w:val="00E417E3"/>
    <w:rsid w:val="00E63AA7"/>
    <w:rsid w:val="00E82A42"/>
    <w:rsid w:val="00E8619B"/>
    <w:rsid w:val="00E92BDE"/>
    <w:rsid w:val="00E96766"/>
    <w:rsid w:val="00EA26EF"/>
    <w:rsid w:val="00EC6FD7"/>
    <w:rsid w:val="00ED28BD"/>
    <w:rsid w:val="00EF300F"/>
    <w:rsid w:val="00F00238"/>
    <w:rsid w:val="00F035AC"/>
    <w:rsid w:val="00F03EE1"/>
    <w:rsid w:val="00F040B5"/>
    <w:rsid w:val="00F515C8"/>
    <w:rsid w:val="00F53071"/>
    <w:rsid w:val="00F5507C"/>
    <w:rsid w:val="00F55E8C"/>
    <w:rsid w:val="00F65F2C"/>
    <w:rsid w:val="00FA5E76"/>
    <w:rsid w:val="00FB2792"/>
    <w:rsid w:val="00FC43C7"/>
    <w:rsid w:val="00FD0C57"/>
    <w:rsid w:val="1EF04F5F"/>
    <w:rsid w:val="3BFFB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3"/>
    <w:next w:val="1"/>
    <w:link w:val="21"/>
    <w:qFormat/>
    <w:uiPriority w:val="9"/>
    <w:pPr>
      <w:snapToGrid w:val="0"/>
      <w:spacing w:after="312" w:afterLines="100" w:line="259" w:lineRule="auto"/>
    </w:pPr>
    <w:rPr>
      <w:rFonts w:ascii="Times New Roman" w:hAnsi="Times New Roman" w:eastAsia="宋体"/>
      <w:b/>
      <w:sz w:val="28"/>
      <w:szCs w:val="28"/>
    </w:rPr>
  </w:style>
  <w:style w:type="paragraph" w:styleId="4">
    <w:name w:val="heading 2"/>
    <w:basedOn w:val="1"/>
    <w:next w:val="1"/>
    <w:link w:val="22"/>
    <w:unhideWhenUsed/>
    <w:qFormat/>
    <w:uiPriority w:val="9"/>
    <w:pPr>
      <w:widowControl/>
      <w:adjustRightInd w:val="0"/>
      <w:snapToGrid w:val="0"/>
      <w:spacing w:after="312" w:afterLines="100" w:line="259" w:lineRule="auto"/>
      <w:jc w:val="center"/>
      <w:outlineLvl w:val="1"/>
    </w:pPr>
    <w:rPr>
      <w:rFonts w:ascii="Times New Roman" w:hAnsi="Times New Roman" w:eastAsia="宋体" w:cs="Times New Roman"/>
      <w:b/>
      <w:sz w:val="24"/>
    </w:rPr>
  </w:style>
  <w:style w:type="paragraph" w:styleId="5">
    <w:name w:val="heading 3"/>
    <w:basedOn w:val="1"/>
    <w:next w:val="1"/>
    <w:link w:val="23"/>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6">
    <w:name w:val="heading 4"/>
    <w:basedOn w:val="1"/>
    <w:next w:val="1"/>
    <w:link w:val="24"/>
    <w:semiHidden/>
    <w:unhideWhenUsed/>
    <w:qFormat/>
    <w:uiPriority w:val="9"/>
    <w:pPr>
      <w:keepNext/>
      <w:keepLines/>
      <w:spacing w:before="80" w:after="40" w:line="278" w:lineRule="auto"/>
      <w:jc w:val="left"/>
      <w:outlineLvl w:val="3"/>
    </w:pPr>
    <w:rPr>
      <w:rFonts w:cstheme="majorBidi"/>
      <w:color w:val="2F5597" w:themeColor="accent1" w:themeShade="BF"/>
      <w:sz w:val="28"/>
      <w:szCs w:val="28"/>
      <w14:ligatures w14:val="standardContextual"/>
    </w:rPr>
  </w:style>
  <w:style w:type="paragraph" w:styleId="7">
    <w:name w:val="heading 5"/>
    <w:basedOn w:val="1"/>
    <w:next w:val="1"/>
    <w:link w:val="25"/>
    <w:semiHidden/>
    <w:unhideWhenUsed/>
    <w:qFormat/>
    <w:uiPriority w:val="9"/>
    <w:pPr>
      <w:keepNext/>
      <w:keepLines/>
      <w:spacing w:before="80" w:after="40" w:line="278" w:lineRule="auto"/>
      <w:jc w:val="left"/>
      <w:outlineLvl w:val="4"/>
    </w:pPr>
    <w:rPr>
      <w:rFonts w:cstheme="majorBidi"/>
      <w:color w:val="2F5597" w:themeColor="accent1" w:themeShade="BF"/>
      <w:sz w:val="24"/>
      <w14:ligatures w14:val="standardContextual"/>
    </w:rPr>
  </w:style>
  <w:style w:type="paragraph" w:styleId="8">
    <w:name w:val="heading 6"/>
    <w:basedOn w:val="1"/>
    <w:next w:val="1"/>
    <w:link w:val="26"/>
    <w:semiHidden/>
    <w:unhideWhenUsed/>
    <w:qFormat/>
    <w:uiPriority w:val="9"/>
    <w:pPr>
      <w:keepNext/>
      <w:keepLines/>
      <w:spacing w:before="40" w:line="278" w:lineRule="auto"/>
      <w:jc w:val="left"/>
      <w:outlineLvl w:val="5"/>
    </w:pPr>
    <w:rPr>
      <w:rFonts w:cstheme="majorBidi"/>
      <w:b/>
      <w:bCs/>
      <w:color w:val="2F5597" w:themeColor="accent1" w:themeShade="BF"/>
      <w:sz w:val="22"/>
      <w14:ligatures w14:val="standardContextual"/>
    </w:rPr>
  </w:style>
  <w:style w:type="paragraph" w:styleId="9">
    <w:name w:val="heading 7"/>
    <w:basedOn w:val="1"/>
    <w:next w:val="1"/>
    <w:link w:val="27"/>
    <w:semiHidden/>
    <w:unhideWhenUsed/>
    <w:qFormat/>
    <w:uiPriority w:val="9"/>
    <w:pPr>
      <w:keepNext/>
      <w:keepLines/>
      <w:spacing w:before="40" w:line="278" w:lineRule="auto"/>
      <w:jc w:val="left"/>
      <w:outlineLvl w:val="6"/>
    </w:pPr>
    <w:rPr>
      <w:rFonts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8"/>
    <w:basedOn w:val="1"/>
    <w:next w:val="1"/>
    <w:link w:val="28"/>
    <w:semiHidden/>
    <w:unhideWhenUsed/>
    <w:qFormat/>
    <w:uiPriority w:val="9"/>
    <w:pPr>
      <w:keepNext/>
      <w:keepLines/>
      <w:spacing w:line="278" w:lineRule="auto"/>
      <w:jc w:val="left"/>
      <w:outlineLvl w:val="7"/>
    </w:pPr>
    <w:rPr>
      <w:rFonts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1">
    <w:name w:val="heading 9"/>
    <w:basedOn w:val="1"/>
    <w:next w:val="1"/>
    <w:link w:val="29"/>
    <w:semiHidden/>
    <w:unhideWhenUsed/>
    <w:qFormat/>
    <w:uiPriority w:val="9"/>
    <w:pPr>
      <w:keepNext/>
      <w:keepLines/>
      <w:spacing w:line="278" w:lineRule="auto"/>
      <w:jc w:val="left"/>
      <w:outlineLvl w:val="8"/>
    </w:pPr>
    <w:rPr>
      <w:rFonts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3">
    <w:name w:val="一级标题"/>
    <w:basedOn w:val="1"/>
    <w:qFormat/>
    <w:uiPriority w:val="0"/>
    <w:pPr>
      <w:spacing w:line="560" w:lineRule="exact"/>
      <w:jc w:val="center"/>
      <w:outlineLvl w:val="0"/>
    </w:pPr>
    <w:rPr>
      <w:rFonts w:ascii="方正大标宋简体" w:hAnsi="方正大标宋简体" w:eastAsia="方正大标宋简体" w:cs="Times New Roman"/>
      <w:sz w:val="42"/>
      <w:szCs w:val="42"/>
    </w:rPr>
  </w:style>
  <w:style w:type="paragraph" w:styleId="12">
    <w:name w:val="annotation text"/>
    <w:basedOn w:val="1"/>
    <w:link w:val="44"/>
    <w:unhideWhenUsed/>
    <w:qFormat/>
    <w:uiPriority w:val="99"/>
    <w:pPr>
      <w:jc w:val="left"/>
    </w:pPr>
  </w:style>
  <w:style w:type="paragraph" w:styleId="13">
    <w:name w:val="footer"/>
    <w:basedOn w:val="1"/>
    <w:link w:val="40"/>
    <w:unhideWhenUsed/>
    <w:qFormat/>
    <w:uiPriority w:val="99"/>
    <w:pPr>
      <w:tabs>
        <w:tab w:val="center" w:pos="4153"/>
        <w:tab w:val="right" w:pos="8306"/>
      </w:tabs>
      <w:snapToGrid w:val="0"/>
      <w:spacing w:after="160"/>
      <w:jc w:val="left"/>
    </w:pPr>
    <w:rPr>
      <w:sz w:val="18"/>
      <w:szCs w:val="18"/>
      <w14:ligatures w14:val="standardContextual"/>
    </w:rPr>
  </w:style>
  <w:style w:type="paragraph" w:styleId="14">
    <w:name w:val="header"/>
    <w:basedOn w:val="1"/>
    <w:link w:val="39"/>
    <w:unhideWhenUsed/>
    <w:qFormat/>
    <w:uiPriority w:val="99"/>
    <w:pPr>
      <w:tabs>
        <w:tab w:val="center" w:pos="4153"/>
        <w:tab w:val="right" w:pos="8306"/>
      </w:tabs>
      <w:snapToGrid w:val="0"/>
      <w:spacing w:after="160"/>
      <w:jc w:val="center"/>
    </w:pPr>
    <w:rPr>
      <w:sz w:val="18"/>
      <w:szCs w:val="18"/>
      <w14:ligatures w14:val="standardContextual"/>
    </w:rPr>
  </w:style>
  <w:style w:type="paragraph" w:styleId="15">
    <w:name w:val="Subtitle"/>
    <w:basedOn w:val="1"/>
    <w:next w:val="1"/>
    <w:link w:val="31"/>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paragraph" w:styleId="17">
    <w:name w:val="annotation subject"/>
    <w:basedOn w:val="12"/>
    <w:next w:val="12"/>
    <w:link w:val="45"/>
    <w:semiHidden/>
    <w:unhideWhenUsed/>
    <w:uiPriority w:val="99"/>
    <w:rPr>
      <w:b/>
      <w:bCs/>
    </w:rPr>
  </w:style>
  <w:style w:type="character" w:styleId="20">
    <w:name w:val="annotation reference"/>
    <w:basedOn w:val="19"/>
    <w:semiHidden/>
    <w:unhideWhenUsed/>
    <w:qFormat/>
    <w:uiPriority w:val="99"/>
    <w:rPr>
      <w:sz w:val="21"/>
      <w:szCs w:val="21"/>
    </w:rPr>
  </w:style>
  <w:style w:type="character" w:customStyle="1" w:styleId="21">
    <w:name w:val="标题 1 Char"/>
    <w:basedOn w:val="19"/>
    <w:link w:val="2"/>
    <w:uiPriority w:val="9"/>
    <w:rPr>
      <w:rFonts w:ascii="Times New Roman" w:hAnsi="Times New Roman" w:eastAsia="宋体" w:cs="Times New Roman"/>
      <w:b/>
      <w:sz w:val="28"/>
      <w:szCs w:val="28"/>
      <w14:ligatures w14:val="none"/>
    </w:rPr>
  </w:style>
  <w:style w:type="character" w:customStyle="1" w:styleId="22">
    <w:name w:val="标题 2 Char"/>
    <w:basedOn w:val="19"/>
    <w:link w:val="4"/>
    <w:qFormat/>
    <w:uiPriority w:val="9"/>
    <w:rPr>
      <w:rFonts w:ascii="Times New Roman" w:hAnsi="Times New Roman" w:eastAsia="宋体" w:cs="Times New Roman"/>
      <w:b/>
      <w:sz w:val="24"/>
      <w14:ligatures w14:val="none"/>
    </w:rPr>
  </w:style>
  <w:style w:type="character" w:customStyle="1" w:styleId="23">
    <w:name w:val="标题 3 Char"/>
    <w:basedOn w:val="19"/>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标题 4 Char"/>
    <w:basedOn w:val="19"/>
    <w:link w:val="6"/>
    <w:semiHidden/>
    <w:qFormat/>
    <w:uiPriority w:val="9"/>
    <w:rPr>
      <w:rFonts w:cstheme="majorBidi"/>
      <w:color w:val="2F5597" w:themeColor="accent1" w:themeShade="BF"/>
      <w:sz w:val="28"/>
      <w:szCs w:val="28"/>
    </w:rPr>
  </w:style>
  <w:style w:type="character" w:customStyle="1" w:styleId="25">
    <w:name w:val="标题 5 Char"/>
    <w:basedOn w:val="19"/>
    <w:link w:val="7"/>
    <w:semiHidden/>
    <w:qFormat/>
    <w:uiPriority w:val="9"/>
    <w:rPr>
      <w:rFonts w:cstheme="majorBidi"/>
      <w:color w:val="2F5597" w:themeColor="accent1" w:themeShade="BF"/>
      <w:sz w:val="24"/>
    </w:rPr>
  </w:style>
  <w:style w:type="character" w:customStyle="1" w:styleId="26">
    <w:name w:val="标题 6 Char"/>
    <w:basedOn w:val="19"/>
    <w:link w:val="8"/>
    <w:semiHidden/>
    <w:qFormat/>
    <w:uiPriority w:val="9"/>
    <w:rPr>
      <w:rFonts w:cstheme="majorBidi"/>
      <w:b/>
      <w:bCs/>
      <w:color w:val="2F5597" w:themeColor="accent1" w:themeShade="BF"/>
    </w:rPr>
  </w:style>
  <w:style w:type="character" w:customStyle="1" w:styleId="27">
    <w:name w:val="标题 7 Char"/>
    <w:basedOn w:val="19"/>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Char"/>
    <w:basedOn w:val="19"/>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Char"/>
    <w:basedOn w:val="19"/>
    <w:link w:val="11"/>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Char"/>
    <w:basedOn w:val="19"/>
    <w:link w:val="16"/>
    <w:uiPriority w:val="10"/>
    <w:rPr>
      <w:rFonts w:asciiTheme="majorHAnsi" w:hAnsiTheme="majorHAnsi" w:eastAsiaTheme="majorEastAsia" w:cstheme="majorBidi"/>
      <w:spacing w:val="-10"/>
      <w:kern w:val="28"/>
      <w:sz w:val="56"/>
      <w:szCs w:val="56"/>
    </w:rPr>
  </w:style>
  <w:style w:type="character" w:customStyle="1" w:styleId="31">
    <w:name w:val="副标题 Char"/>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line="278" w:lineRule="auto"/>
      <w:jc w:val="center"/>
    </w:pPr>
    <w:rPr>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3">
    <w:name w:val="引用 Char"/>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spacing w:after="160" w:line="278" w:lineRule="auto"/>
      <w:ind w:left="720"/>
      <w:contextualSpacing/>
      <w:jc w:val="left"/>
    </w:pPr>
    <w:rPr>
      <w:sz w:val="22"/>
      <w14:ligatures w14:val="standardContextual"/>
    </w:rPr>
  </w:style>
  <w:style w:type="character" w:customStyle="1" w:styleId="35">
    <w:name w:val="Intense Emphasis"/>
    <w:basedOn w:val="19"/>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i/>
      <w:iCs/>
      <w:color w:val="2F5597" w:themeColor="accent1" w:themeShade="BF"/>
      <w:sz w:val="22"/>
      <w14:ligatures w14:val="standardContextual"/>
    </w:rPr>
  </w:style>
  <w:style w:type="character" w:customStyle="1" w:styleId="37">
    <w:name w:val="明显引用 Char"/>
    <w:basedOn w:val="19"/>
    <w:link w:val="36"/>
    <w:qFormat/>
    <w:uiPriority w:val="30"/>
    <w:rPr>
      <w:i/>
      <w:iCs/>
      <w:color w:val="2F5597" w:themeColor="accent1" w:themeShade="BF"/>
    </w:rPr>
  </w:style>
  <w:style w:type="character" w:customStyle="1" w:styleId="38">
    <w:name w:val="Intense Reference"/>
    <w:basedOn w:val="19"/>
    <w:qFormat/>
    <w:uiPriority w:val="32"/>
    <w:rPr>
      <w:b/>
      <w:bCs/>
      <w:smallCaps/>
      <w:color w:val="2F5597" w:themeColor="accent1" w:themeShade="BF"/>
      <w:spacing w:val="5"/>
    </w:rPr>
  </w:style>
  <w:style w:type="character" w:customStyle="1" w:styleId="39">
    <w:name w:val="页眉 Char"/>
    <w:basedOn w:val="19"/>
    <w:link w:val="14"/>
    <w:qFormat/>
    <w:uiPriority w:val="99"/>
    <w:rPr>
      <w:sz w:val="18"/>
      <w:szCs w:val="18"/>
    </w:rPr>
  </w:style>
  <w:style w:type="character" w:customStyle="1" w:styleId="40">
    <w:name w:val="页脚 Char"/>
    <w:basedOn w:val="19"/>
    <w:link w:val="13"/>
    <w:qFormat/>
    <w:uiPriority w:val="99"/>
    <w:rPr>
      <w:sz w:val="18"/>
      <w:szCs w:val="18"/>
    </w:rPr>
  </w:style>
  <w:style w:type="character" w:customStyle="1" w:styleId="41">
    <w:name w:val="标题 1 字符1"/>
    <w:qFormat/>
    <w:locked/>
    <w:uiPriority w:val="9"/>
    <w:rPr>
      <w:rFonts w:ascii="Times New Roman" w:hAnsi="Times New Roman" w:eastAsia="黑体"/>
      <w:b/>
      <w:bCs/>
      <w:kern w:val="44"/>
      <w:sz w:val="36"/>
      <w:szCs w:val="36"/>
      <w14:ligatures w14:val="none"/>
    </w:rPr>
  </w:style>
  <w:style w:type="character" w:customStyle="1" w:styleId="42">
    <w:name w:val="标题 2 字符1"/>
    <w:semiHidden/>
    <w:qFormat/>
    <w:locked/>
    <w:uiPriority w:val="9"/>
    <w:rPr>
      <w:rFonts w:ascii="Times New Roman" w:hAnsi="Times New Roman" w:eastAsia="黑体"/>
      <w:b/>
      <w:bCs/>
      <w:kern w:val="44"/>
      <w:sz w:val="36"/>
      <w:szCs w:val="36"/>
      <w14:ligatures w14:val="none"/>
    </w:rPr>
  </w:style>
  <w:style w:type="paragraph" w:customStyle="1" w:styleId="43">
    <w:name w:val="Revision"/>
    <w:hidden/>
    <w:semiHidden/>
    <w:qFormat/>
    <w:uiPriority w:val="99"/>
    <w:pPr>
      <w:spacing w:after="0" w:line="240" w:lineRule="auto"/>
    </w:pPr>
    <w:rPr>
      <w:rFonts w:asciiTheme="minorHAnsi" w:hAnsiTheme="minorHAnsi" w:eastAsiaTheme="minorEastAsia" w:cstheme="minorBidi"/>
      <w:kern w:val="2"/>
      <w:sz w:val="21"/>
      <w:szCs w:val="24"/>
      <w:lang w:val="en-US" w:eastAsia="zh-CN" w:bidi="ar-SA"/>
      <w14:ligatures w14:val="none"/>
    </w:rPr>
  </w:style>
  <w:style w:type="character" w:customStyle="1" w:styleId="44">
    <w:name w:val="批注文字 Char"/>
    <w:basedOn w:val="19"/>
    <w:link w:val="12"/>
    <w:qFormat/>
    <w:uiPriority w:val="99"/>
    <w:rPr>
      <w:sz w:val="21"/>
      <w14:ligatures w14:val="none"/>
    </w:rPr>
  </w:style>
  <w:style w:type="character" w:customStyle="1" w:styleId="45">
    <w:name w:val="批注主题 Char"/>
    <w:basedOn w:val="44"/>
    <w:link w:val="17"/>
    <w:semiHidden/>
    <w:qFormat/>
    <w:uiPriority w:val="99"/>
    <w:rPr>
      <w:b/>
      <w:bCs/>
      <w:sz w:val="21"/>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3EE335BA-49B4-440F-B68E-1CDC9309B90E}">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1798</Words>
  <Characters>10420</Characters>
  <Lines>86</Lines>
  <Paragraphs>24</Paragraphs>
  <TotalTime>318</TotalTime>
  <ScaleCrop>false</ScaleCrop>
  <LinksUpToDate>false</LinksUpToDate>
  <CharactersWithSpaces>12171</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2025-05-28T10:45:00Z</dcterms:created>
  <dc:creator>Ubica</dc:creator>
  <cp:lastModifiedBy>guan.zhaohui</cp:lastModifiedBy>
  <dcterms:modified xsi:type="dcterms:W3CDTF">2025-08-07T13:17:19Z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2052-11.8.2.12219</vt:lpwstr>
  </property>
  <property fmtid="{D5CDD505-2E9C-101B-9397-08002B2CF9AE}" pid="4" name="ICV">
    <vt:lpwstr>7152B4CB788749979BD710B0E65A3128_12</vt:lpwstr>
  </property>
</Properties>
</file>