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bookmarkStart w:id="0" w:name="_Hlk199497811"/>
      <w:r>
        <w:rPr>
          <w:sz w:val="22"/>
          <w:szCs w:val="22"/>
        </w:rPr>
        <w:t>ARBITRAGE TRADING RULES OF THE SHANGHAI FUTURES EXCHANGE</w:t>
      </w:r>
      <w:bookmarkEnd w:id="0"/>
    </w:p>
    <w:p>
      <w:pPr>
        <w:pStyle w:val="3"/>
        <w:rPr>
          <w:sz w:val="22"/>
          <w:szCs w:val="22"/>
        </w:rPr>
      </w:pPr>
      <w:r>
        <w:rPr>
          <w:sz w:val="22"/>
          <w:szCs w:val="22"/>
        </w:rPr>
        <w:t>CHAPTER 1</w:t>
      </w:r>
      <w:r>
        <w:rPr>
          <w:sz w:val="22"/>
          <w:szCs w:val="22"/>
        </w:rPr>
        <w:tab/>
      </w:r>
      <w:r>
        <w:rPr>
          <w:sz w:val="22"/>
          <w:szCs w:val="22"/>
        </w:rPr>
        <w:t>GENERAL PROVISIONS</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w:t>
      </w:r>
      <w:r>
        <w:rPr>
          <w:rFonts w:ascii="Times New Roman" w:hAnsi="Times New Roman" w:eastAsia="宋体" w:cs="Times New Roman"/>
          <w:sz w:val="22"/>
        </w:rPr>
        <w:tab/>
      </w:r>
      <w:r>
        <w:rPr>
          <w:rFonts w:ascii="Times New Roman" w:hAnsi="Times New Roman" w:eastAsia="宋体" w:cs="Times New Roman"/>
          <w:sz w:val="22"/>
        </w:rPr>
        <w:t xml:space="preserve">These </w:t>
      </w:r>
      <w:r>
        <w:rPr>
          <w:rFonts w:ascii="Times New Roman" w:hAnsi="Times New Roman" w:eastAsia="宋体" w:cs="Times New Roman"/>
          <w:i/>
          <w:iCs/>
          <w:sz w:val="22"/>
        </w:rPr>
        <w:t>Arbitrage Trading Rules</w:t>
      </w:r>
      <w:r>
        <w:rPr>
          <w:rFonts w:ascii="Times New Roman" w:hAnsi="Times New Roman" w:eastAsia="宋体" w:cs="Times New Roman"/>
          <w:sz w:val="22"/>
        </w:rPr>
        <w:t xml:space="preserve"> are made in accordance with the </w:t>
      </w:r>
      <w:r>
        <w:rPr>
          <w:rFonts w:ascii="Times New Roman" w:hAnsi="Times New Roman" w:eastAsia="宋体" w:cs="Times New Roman"/>
          <w:i/>
          <w:iCs/>
          <w:sz w:val="22"/>
        </w:rPr>
        <w:t>General Exchange Rules of the Shanghai Futures Exchange</w:t>
      </w:r>
      <w:r>
        <w:rPr>
          <w:rFonts w:ascii="Times New Roman" w:hAnsi="Times New Roman" w:eastAsia="宋体" w:cs="Times New Roman"/>
          <w:sz w:val="22"/>
        </w:rPr>
        <w:t xml:space="preserve"> and other applicable rules to regulate arbitrage trading and promote the sound development of th</w:t>
      </w:r>
      <w:bookmarkStart w:id="1" w:name="_GoBack"/>
      <w:bookmarkEnd w:id="1"/>
      <w:r>
        <w:rPr>
          <w:rFonts w:ascii="Times New Roman" w:hAnsi="Times New Roman" w:eastAsia="宋体" w:cs="Times New Roman"/>
          <w:sz w:val="22"/>
        </w:rPr>
        <w:t>e futures market.</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2</w:t>
      </w:r>
      <w:r>
        <w:rPr>
          <w:rFonts w:ascii="Times New Roman" w:hAnsi="Times New Roman" w:eastAsia="宋体" w:cs="Times New Roman"/>
          <w:sz w:val="22"/>
        </w:rPr>
        <w:tab/>
      </w:r>
      <w:r>
        <w:rPr>
          <w:rFonts w:ascii="Times New Roman" w:hAnsi="Times New Roman" w:eastAsia="宋体" w:cs="Times New Roman"/>
          <w:sz w:val="22"/>
        </w:rPr>
        <w:t>A non-futures firm Member (“Non-FF Member”),</w:t>
      </w:r>
      <w:r>
        <w:rPr>
          <w:rFonts w:ascii="Times New Roman" w:hAnsi="Times New Roman" w:eastAsia="宋体" w:cs="Times New Roman"/>
          <w:kern w:val="0"/>
          <w:sz w:val="22"/>
        </w:rPr>
        <w:t xml:space="preserve"> </w:t>
      </w:r>
      <w:r>
        <w:rPr>
          <w:rFonts w:ascii="Times New Roman" w:hAnsi="Times New Roman" w:eastAsia="宋体" w:cs="Times New Roman"/>
          <w:bCs/>
          <w:sz w:val="22"/>
        </w:rPr>
        <w:t>Overseas Special Non-Brokerage Participant (“OSNBP”),</w:t>
      </w:r>
      <w:r>
        <w:rPr>
          <w:rFonts w:ascii="Times New Roman" w:hAnsi="Times New Roman" w:eastAsia="宋体" w:cs="Times New Roman"/>
          <w:sz w:val="22"/>
        </w:rPr>
        <w:t xml:space="preserve"> or Client may apply for an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to</w:t>
      </w:r>
      <w:r>
        <w:rPr>
          <w:rFonts w:ascii="Times New Roman" w:hAnsi="Times New Roman" w:eastAsia="宋体" w:cs="Times New Roman"/>
          <w:bCs/>
          <w:sz w:val="22"/>
        </w:rPr>
        <w:t xml:space="preserve"> increase its position limit</w:t>
      </w:r>
      <w:r>
        <w:rPr>
          <w:rFonts w:ascii="Times New Roman" w:hAnsi="Times New Roman" w:eastAsia="宋体" w:cs="Times New Roman"/>
          <w:sz w:val="22"/>
        </w:rPr>
        <w:t xml:space="preserve">. </w:t>
      </w:r>
      <w:r>
        <w:rPr>
          <w:rFonts w:ascii="Times New Roman" w:hAnsi="Times New Roman" w:eastAsia="宋体" w:cs="Times New Roman"/>
          <w:bCs/>
          <w:sz w:val="22"/>
        </w:rPr>
        <w:t xml:space="preserve">Position limits are governed by the </w:t>
      </w:r>
      <w:r>
        <w:rPr>
          <w:rFonts w:ascii="Times New Roman" w:hAnsi="Times New Roman" w:eastAsia="宋体" w:cs="Times New Roman"/>
          <w:bCs/>
          <w:i/>
          <w:sz w:val="22"/>
        </w:rPr>
        <w:t xml:space="preserve">Risk Management Rules of the Shanghai Futures Exchange </w:t>
      </w:r>
      <w:r>
        <w:rPr>
          <w:rFonts w:ascii="Times New Roman" w:hAnsi="Times New Roman" w:eastAsia="宋体" w:cs="Times New Roman"/>
          <w:bCs/>
          <w:iCs/>
          <w:sz w:val="22"/>
        </w:rPr>
        <w:t>and</w:t>
      </w:r>
      <w:r>
        <w:rPr>
          <w:rFonts w:ascii="Times New Roman" w:hAnsi="Times New Roman" w:eastAsia="宋体" w:cs="Times New Roman"/>
          <w:sz w:val="22"/>
        </w:rPr>
        <w:t xml:space="preserve"> the particular product </w:t>
      </w:r>
      <w:r>
        <w:rPr>
          <w:rFonts w:hint="eastAsia" w:ascii="Times New Roman" w:hAnsi="Times New Roman" w:eastAsia="宋体" w:cs="Times New Roman"/>
          <w:sz w:val="22"/>
        </w:rPr>
        <w:t>rules</w:t>
      </w:r>
      <w:r>
        <w:rPr>
          <w:rFonts w:ascii="Times New Roman" w:hAnsi="Times New Roman" w:eastAsia="宋体" w:cs="Times New Roman"/>
          <w:i/>
          <w:iCs/>
          <w:sz w:val="22"/>
        </w:rPr>
        <w:t>.</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3</w:t>
      </w:r>
      <w:r>
        <w:rPr>
          <w:rFonts w:ascii="Times New Roman" w:hAnsi="Times New Roman" w:eastAsia="宋体" w:cs="Times New Roman"/>
          <w:sz w:val="22"/>
        </w:rPr>
        <w:tab/>
      </w:r>
      <w:r>
        <w:rPr>
          <w:rFonts w:ascii="Times New Roman" w:hAnsi="Times New Roman" w:eastAsia="宋体" w:cs="Times New Roman"/>
          <w:sz w:val="22"/>
        </w:rPr>
        <w:t xml:space="preserve">For the purpose of these </w:t>
      </w:r>
      <w:r>
        <w:rPr>
          <w:rFonts w:ascii="Times New Roman" w:hAnsi="Times New Roman" w:eastAsia="宋体" w:cs="Times New Roman"/>
          <w:i/>
          <w:iCs/>
          <w:sz w:val="22"/>
        </w:rPr>
        <w:t>Arbitrage Trading Rules</w:t>
      </w:r>
      <w:r>
        <w:rPr>
          <w:rFonts w:ascii="Times New Roman" w:hAnsi="Times New Roman" w:eastAsia="宋体" w:cs="Times New Roman"/>
          <w:sz w:val="22"/>
        </w:rPr>
        <w:t>, arbitrage trading is classified into calendar arbitrage and cross-product arbitrage. “Calendar arbitrage” means trading different contracts on the same product for profit; “cross-product arbitrage” means trading contracts on different products for profit.</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The product mix for cross-product arbitrage will be separately announced by the Shanghai Futures Exchange (the “Exchange”).</w:t>
      </w:r>
    </w:p>
    <w:p>
      <w:pPr>
        <w:tabs>
          <w:tab w:val="left" w:pos="1204"/>
        </w:tabs>
        <w:adjustRightInd w:val="0"/>
        <w:snapToGrid w:val="0"/>
        <w:spacing w:after="312" w:afterLines="100" w:line="259" w:lineRule="auto"/>
        <w:jc w:val="left"/>
        <w:rPr>
          <w:rFonts w:ascii="Times New Roman" w:hAnsi="Times New Roman" w:eastAsia="宋体" w:cs="Times New Roman"/>
          <w:sz w:val="22"/>
        </w:rPr>
      </w:pPr>
      <w:r>
        <w:rPr>
          <w:rFonts w:ascii="Times New Roman" w:hAnsi="Times New Roman" w:eastAsia="宋体" w:cs="Times New Roman"/>
          <w:b/>
          <w:bCs/>
          <w:sz w:val="22"/>
        </w:rPr>
        <w:t>Article 4</w:t>
      </w:r>
      <w:r>
        <w:rPr>
          <w:rFonts w:ascii="Times New Roman" w:hAnsi="Times New Roman" w:eastAsia="宋体" w:cs="Times New Roman"/>
          <w:sz w:val="22"/>
        </w:rPr>
        <w:tab/>
      </w:r>
      <w:r>
        <w:rPr>
          <w:rFonts w:ascii="Times New Roman" w:hAnsi="Times New Roman" w:eastAsia="宋体" w:cs="Times New Roman"/>
          <w:sz w:val="22"/>
        </w:rPr>
        <w:t xml:space="preserve">Arbitrage position </w:t>
      </w:r>
      <w:r>
        <w:rPr>
          <w:rFonts w:ascii="Times New Roman" w:hAnsi="Times New Roman" w:eastAsia="宋体" w:cs="Times New Roman"/>
          <w:bCs/>
          <w:sz w:val="22"/>
        </w:rPr>
        <w:t>quota</w:t>
      </w:r>
      <w:r>
        <w:rPr>
          <w:rFonts w:ascii="Times New Roman" w:hAnsi="Times New Roman" w:eastAsia="宋体" w:cs="Times New Roman"/>
          <w:sz w:val="22"/>
        </w:rPr>
        <w:t xml:space="preserve"> is classified into arbitrage position </w:t>
      </w:r>
      <w:r>
        <w:rPr>
          <w:rFonts w:ascii="Times New Roman" w:hAnsi="Times New Roman" w:eastAsia="宋体" w:cs="Times New Roman"/>
          <w:bCs/>
          <w:sz w:val="22"/>
        </w:rPr>
        <w:t>quota</w:t>
      </w:r>
      <w:r>
        <w:rPr>
          <w:rFonts w:ascii="Times New Roman" w:hAnsi="Times New Roman" w:eastAsia="宋体" w:cs="Times New Roman"/>
          <w:sz w:val="22"/>
        </w:rPr>
        <w:t xml:space="preserve"> for regular months and arbitrage position </w:t>
      </w:r>
      <w:r>
        <w:rPr>
          <w:rFonts w:ascii="Times New Roman" w:hAnsi="Times New Roman" w:eastAsia="宋体" w:cs="Times New Roman"/>
          <w:bCs/>
          <w:sz w:val="22"/>
        </w:rPr>
        <w:t>quota</w:t>
      </w:r>
      <w:r>
        <w:rPr>
          <w:rFonts w:ascii="Times New Roman" w:hAnsi="Times New Roman" w:eastAsia="宋体" w:cs="Times New Roman"/>
          <w:sz w:val="22"/>
        </w:rPr>
        <w:t xml:space="preserve"> for nearby delivery months.</w:t>
      </w:r>
    </w:p>
    <w:p>
      <w:pPr>
        <w:snapToGrid w:val="0"/>
        <w:spacing w:after="312" w:afterLines="100" w:line="259" w:lineRule="auto"/>
        <w:jc w:val="left"/>
        <w:rPr>
          <w:rFonts w:ascii="Times New Roman" w:hAnsi="Times New Roman" w:eastAsia="宋体" w:cs="Times New Roman"/>
          <w:bCs/>
          <w:sz w:val="22"/>
        </w:rPr>
      </w:pPr>
      <w:r>
        <w:rPr>
          <w:rFonts w:ascii="Times New Roman" w:hAnsi="Times New Roman" w:eastAsia="宋体" w:cs="Times New Roman"/>
          <w:bCs/>
          <w:sz w:val="22"/>
        </w:rPr>
        <w:t xml:space="preserve">The division of regular and nearby delivery months as well as the deadline for arbitrage </w:t>
      </w:r>
      <w:r>
        <w:rPr>
          <w:rFonts w:ascii="Times New Roman" w:hAnsi="Times New Roman" w:eastAsia="宋体" w:cs="Times New Roman"/>
          <w:sz w:val="22"/>
        </w:rPr>
        <w:t xml:space="preserve">position quota applications </w:t>
      </w:r>
      <w:r>
        <w:rPr>
          <w:rFonts w:ascii="Times New Roman" w:hAnsi="Times New Roman" w:eastAsia="宋体" w:cs="Times New Roman"/>
          <w:bCs/>
          <w:sz w:val="22"/>
        </w:rPr>
        <w:t>during these different months shall be governed by the futures rules for the particular products.</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5</w:t>
      </w:r>
      <w:r>
        <w:rPr>
          <w:rFonts w:ascii="Times New Roman" w:hAnsi="Times New Roman" w:eastAsia="宋体" w:cs="Times New Roman"/>
          <w:sz w:val="22"/>
        </w:rPr>
        <w:tab/>
      </w:r>
      <w:r>
        <w:rPr>
          <w:rFonts w:ascii="Times New Roman" w:hAnsi="Times New Roman" w:eastAsia="宋体" w:cs="Times New Roman"/>
          <w:sz w:val="22"/>
        </w:rPr>
        <w:t xml:space="preserve">Members, </w:t>
      </w:r>
      <w:r>
        <w:rPr>
          <w:rFonts w:ascii="Times New Roman" w:hAnsi="Times New Roman" w:eastAsia="宋体" w:cs="Times New Roman"/>
          <w:bCs/>
          <w:sz w:val="22"/>
        </w:rPr>
        <w:t xml:space="preserve">Overseas Special Participants, Overseas Intermediaries, </w:t>
      </w:r>
      <w:r>
        <w:rPr>
          <w:rFonts w:ascii="Times New Roman" w:hAnsi="Times New Roman" w:eastAsia="宋体" w:cs="Times New Roman"/>
          <w:sz w:val="22"/>
        </w:rPr>
        <w:t xml:space="preserve">and Clients that engage in arbitrage trading shall observe these </w:t>
      </w:r>
      <w:r>
        <w:rPr>
          <w:rFonts w:ascii="Times New Roman" w:hAnsi="Times New Roman" w:eastAsia="宋体" w:cs="Times New Roman"/>
          <w:i/>
          <w:iCs/>
          <w:sz w:val="22"/>
        </w:rPr>
        <w:t>Arbitrage Trading Rules</w:t>
      </w:r>
      <w:r>
        <w:rPr>
          <w:rFonts w:ascii="Times New Roman" w:hAnsi="Times New Roman" w:eastAsia="宋体" w:cs="Times New Roman"/>
          <w:sz w:val="22"/>
        </w:rPr>
        <w:t>.</w:t>
      </w:r>
    </w:p>
    <w:p>
      <w:pPr>
        <w:widowControl/>
        <w:tabs>
          <w:tab w:val="left" w:pos="1701"/>
        </w:tabs>
        <w:adjustRightInd w:val="0"/>
        <w:snapToGrid w:val="0"/>
        <w:spacing w:after="312" w:afterLines="100" w:line="259" w:lineRule="auto"/>
        <w:jc w:val="center"/>
        <w:outlineLvl w:val="1"/>
        <w:rPr>
          <w:rFonts w:ascii="Times New Roman" w:hAnsi="Times New Roman" w:eastAsia="宋体" w:cs="Times New Roman"/>
          <w:b/>
          <w:sz w:val="22"/>
        </w:rPr>
      </w:pPr>
      <w:r>
        <w:rPr>
          <w:rFonts w:ascii="Times New Roman" w:hAnsi="Times New Roman" w:eastAsia="宋体" w:cs="Times New Roman"/>
          <w:b/>
          <w:sz w:val="22"/>
        </w:rPr>
        <w:t>CHAPTER 2</w:t>
      </w:r>
      <w:r>
        <w:rPr>
          <w:rFonts w:ascii="Times New Roman" w:hAnsi="Times New Roman" w:eastAsia="宋体" w:cs="Times New Roman"/>
          <w:b/>
          <w:sz w:val="22"/>
        </w:rPr>
        <w:tab/>
      </w:r>
      <w:r>
        <w:rPr>
          <w:rFonts w:ascii="Times New Roman" w:hAnsi="Times New Roman" w:eastAsia="宋体" w:cs="Times New Roman"/>
          <w:b/>
          <w:sz w:val="22"/>
        </w:rPr>
        <w:t xml:space="preserve">APPLICATION AND APPROVAL OF ARBITRAGE </w:t>
      </w:r>
      <w:r>
        <w:rPr>
          <w:rFonts w:ascii="Times New Roman" w:hAnsi="Times New Roman" w:eastAsia="宋体" w:cs="Times New Roman"/>
          <w:b/>
          <w:bCs/>
          <w:sz w:val="22"/>
        </w:rPr>
        <w:t>POSITION</w:t>
      </w:r>
      <w:r>
        <w:rPr>
          <w:rFonts w:ascii="Times New Roman" w:hAnsi="Times New Roman" w:eastAsia="宋体" w:cs="Times New Roman"/>
          <w:b/>
          <w:sz w:val="22"/>
        </w:rPr>
        <w:t xml:space="preserve"> QUOTA</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6</w:t>
      </w:r>
      <w:r>
        <w:rPr>
          <w:rFonts w:ascii="Times New Roman" w:hAnsi="Times New Roman" w:eastAsia="宋体" w:cs="Times New Roman"/>
          <w:sz w:val="22"/>
        </w:rPr>
        <w:tab/>
      </w:r>
      <w:r>
        <w:rPr>
          <w:rFonts w:ascii="Times New Roman" w:hAnsi="Times New Roman" w:eastAsia="宋体" w:cs="Times New Roman"/>
          <w:sz w:val="22"/>
        </w:rPr>
        <w:t xml:space="preserve">A Client that needs an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shall </w:t>
      </w:r>
      <w:r>
        <w:rPr>
          <w:rFonts w:ascii="Times New Roman" w:hAnsi="Times New Roman" w:eastAsia="宋体" w:cs="Times New Roman"/>
          <w:bCs/>
          <w:sz w:val="22"/>
        </w:rPr>
        <w:t xml:space="preserve">complete the filing and other procedures through </w:t>
      </w:r>
      <w:r>
        <w:rPr>
          <w:rFonts w:ascii="Times New Roman" w:hAnsi="Times New Roman" w:eastAsia="宋体" w:cs="Times New Roman"/>
          <w:sz w:val="22"/>
        </w:rPr>
        <w:t xml:space="preserve">any of its carrying FF Members, </w:t>
      </w:r>
      <w:r>
        <w:rPr>
          <w:rFonts w:ascii="Times New Roman" w:hAnsi="Times New Roman" w:eastAsia="宋体" w:cs="Times New Roman"/>
          <w:bCs/>
          <w:sz w:val="22"/>
        </w:rPr>
        <w:t xml:space="preserve">Overseas Special Brokerage Participants, Overseas Intermediaries, and other such institutions (collectively, “Account Opening Institutions”), </w:t>
      </w:r>
      <w:r>
        <w:rPr>
          <w:rFonts w:ascii="Times New Roman" w:hAnsi="Times New Roman" w:eastAsia="宋体" w:cs="Times New Roman"/>
          <w:sz w:val="22"/>
        </w:rPr>
        <w:t xml:space="preserve">which shall, after reviewing the application, complete the filing </w:t>
      </w:r>
      <w:r>
        <w:rPr>
          <w:rFonts w:ascii="Times New Roman" w:hAnsi="Times New Roman" w:eastAsia="宋体" w:cs="Times New Roman"/>
          <w:bCs/>
          <w:sz w:val="22"/>
        </w:rPr>
        <w:t>and other</w:t>
      </w:r>
      <w:r>
        <w:rPr>
          <w:rFonts w:ascii="Times New Roman" w:hAnsi="Times New Roman" w:eastAsia="宋体" w:cs="Times New Roman"/>
          <w:sz w:val="22"/>
        </w:rPr>
        <w:t xml:space="preserve"> </w:t>
      </w:r>
      <w:r>
        <w:rPr>
          <w:rFonts w:ascii="Times New Roman" w:hAnsi="Times New Roman" w:eastAsia="宋体" w:cs="Times New Roman"/>
          <w:bCs/>
          <w:sz w:val="22"/>
        </w:rPr>
        <w:t>procedures</w:t>
      </w:r>
      <w:r>
        <w:rPr>
          <w:rFonts w:ascii="Times New Roman" w:hAnsi="Times New Roman" w:eastAsia="宋体" w:cs="Times New Roman"/>
          <w:sz w:val="22"/>
        </w:rPr>
        <w:t xml:space="preserve"> with the Exchange pursuant to these </w:t>
      </w:r>
      <w:r>
        <w:rPr>
          <w:rFonts w:ascii="Times New Roman" w:hAnsi="Times New Roman" w:eastAsia="宋体" w:cs="Times New Roman"/>
          <w:i/>
          <w:iCs/>
          <w:sz w:val="22"/>
        </w:rPr>
        <w:t>Arbitrage Trading Rules</w:t>
      </w:r>
      <w:r>
        <w:rPr>
          <w:rFonts w:ascii="Times New Roman" w:hAnsi="Times New Roman" w:eastAsia="宋体" w:cs="Times New Roman"/>
          <w:sz w:val="22"/>
        </w:rPr>
        <w:t>. A Non-FF Member</w:t>
      </w:r>
      <w:r>
        <w:rPr>
          <w:rFonts w:ascii="Times New Roman" w:hAnsi="Times New Roman" w:eastAsia="宋体" w:cs="Times New Roman"/>
          <w:bCs/>
          <w:sz w:val="22"/>
        </w:rPr>
        <w:t xml:space="preserve"> or OSNBP</w:t>
      </w:r>
      <w:r>
        <w:rPr>
          <w:rFonts w:ascii="Times New Roman" w:hAnsi="Times New Roman" w:eastAsia="宋体" w:cs="Times New Roman"/>
          <w:sz w:val="22"/>
        </w:rPr>
        <w:t xml:space="preserve"> shall complete the filing </w:t>
      </w:r>
      <w:r>
        <w:rPr>
          <w:rFonts w:ascii="Times New Roman" w:hAnsi="Times New Roman" w:eastAsia="宋体" w:cs="Times New Roman"/>
          <w:bCs/>
          <w:sz w:val="22"/>
        </w:rPr>
        <w:t>and other procedures</w:t>
      </w:r>
      <w:r>
        <w:rPr>
          <w:rFonts w:ascii="Times New Roman" w:hAnsi="Times New Roman" w:eastAsia="宋体" w:cs="Times New Roman"/>
          <w:sz w:val="22"/>
        </w:rPr>
        <w:t xml:space="preserve"> directly with the Exchange.</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7</w:t>
      </w:r>
      <w:r>
        <w:rPr>
          <w:rFonts w:ascii="Times New Roman" w:hAnsi="Times New Roman" w:eastAsia="宋体" w:cs="Times New Roman"/>
          <w:b/>
          <w:bCs/>
          <w:sz w:val="22"/>
        </w:rPr>
        <w:tab/>
      </w:r>
      <w:r>
        <w:rPr>
          <w:rFonts w:ascii="Times New Roman" w:hAnsi="Times New Roman" w:eastAsia="宋体" w:cs="Times New Roman"/>
          <w:sz w:val="22"/>
        </w:rPr>
        <w:t xml:space="preserve">A Non-FF Member, </w:t>
      </w:r>
      <w:r>
        <w:rPr>
          <w:rFonts w:ascii="Times New Roman" w:hAnsi="Times New Roman" w:eastAsia="宋体" w:cs="Times New Roman"/>
          <w:bCs/>
          <w:sz w:val="22"/>
        </w:rPr>
        <w:t>OSNBP,</w:t>
      </w:r>
      <w:r>
        <w:rPr>
          <w:rFonts w:ascii="Times New Roman" w:hAnsi="Times New Roman" w:eastAsia="宋体" w:cs="Times New Roman"/>
          <w:sz w:val="22"/>
        </w:rPr>
        <w:t xml:space="preserve"> or Client applying for a regular month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of certain products shall submit the following materials to the Exchange:</w:t>
      </w:r>
    </w:p>
    <w:p>
      <w:pPr>
        <w:widowControl/>
        <w:tabs>
          <w:tab w:val="left" w:pos="567"/>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(i)</w:t>
      </w:r>
      <w:r>
        <w:rPr>
          <w:rFonts w:ascii="Times New Roman" w:hAnsi="Times New Roman" w:eastAsia="宋体" w:cs="Times New Roman"/>
          <w:sz w:val="22"/>
        </w:rPr>
        <w:tab/>
      </w:r>
      <w:r>
        <w:rPr>
          <w:rFonts w:ascii="Times New Roman" w:hAnsi="Times New Roman" w:eastAsia="宋体" w:cs="Times New Roman"/>
          <w:sz w:val="22"/>
        </w:rPr>
        <w:t xml:space="preserve">an </w:t>
      </w:r>
      <w:r>
        <w:rPr>
          <w:rFonts w:ascii="Times New Roman" w:hAnsi="Times New Roman" w:eastAsia="宋体" w:cs="Times New Roman"/>
          <w:i/>
          <w:iCs/>
          <w:sz w:val="22"/>
        </w:rPr>
        <w:t xml:space="preserve">Application (Approval) Form for Regular Month Arbitrage </w:t>
      </w:r>
      <w:r>
        <w:rPr>
          <w:rFonts w:ascii="Times New Roman" w:hAnsi="Times New Roman" w:eastAsia="宋体" w:cs="Times New Roman"/>
          <w:bCs/>
          <w:i/>
          <w:sz w:val="22"/>
        </w:rPr>
        <w:t>Position</w:t>
      </w:r>
      <w:r>
        <w:rPr>
          <w:rFonts w:ascii="Times New Roman" w:hAnsi="Times New Roman" w:eastAsia="宋体" w:cs="Times New Roman"/>
          <w:i/>
          <w:iCs/>
          <w:sz w:val="22"/>
        </w:rPr>
        <w:t xml:space="preserve"> Quota of the Shanghai Futures Exchange</w:t>
      </w:r>
      <w:r>
        <w:rPr>
          <w:rFonts w:ascii="Times New Roman" w:hAnsi="Times New Roman" w:eastAsia="宋体" w:cs="Times New Roman"/>
          <w:sz w:val="22"/>
        </w:rPr>
        <w:t>;</w:t>
      </w:r>
    </w:p>
    <w:p>
      <w:pPr>
        <w:widowControl/>
        <w:tabs>
          <w:tab w:val="left" w:pos="567"/>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(ii)</w:t>
      </w:r>
      <w:r>
        <w:rPr>
          <w:rFonts w:ascii="Times New Roman" w:hAnsi="Times New Roman" w:eastAsia="宋体" w:cs="Times New Roman"/>
          <w:sz w:val="22"/>
        </w:rPr>
        <w:tab/>
      </w:r>
      <w:r>
        <w:rPr>
          <w:rFonts w:ascii="Times New Roman" w:hAnsi="Times New Roman" w:eastAsia="宋体" w:cs="Times New Roman"/>
          <w:sz w:val="22"/>
        </w:rPr>
        <w:t>arbitrage strategies (such as source of funds, size of positions, and classification as calendar arbitrage or cross-product arbitrage); and</w:t>
      </w:r>
    </w:p>
    <w:p>
      <w:pPr>
        <w:widowControl/>
        <w:tabs>
          <w:tab w:val="left" w:pos="567"/>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(iii)</w:t>
      </w:r>
      <w:r>
        <w:rPr>
          <w:rFonts w:ascii="Times New Roman" w:hAnsi="Times New Roman" w:eastAsia="宋体" w:cs="Times New Roman"/>
          <w:sz w:val="22"/>
        </w:rPr>
        <w:tab/>
      </w:r>
      <w:r>
        <w:rPr>
          <w:rFonts w:ascii="Times New Roman" w:hAnsi="Times New Roman" w:eastAsia="宋体" w:cs="Times New Roman"/>
          <w:sz w:val="22"/>
        </w:rPr>
        <w:t>other materials required by the Exchange.</w:t>
      </w:r>
    </w:p>
    <w:p>
      <w:pPr>
        <w:widowControl/>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 xml:space="preserve">A regular month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of a product will remain valid for the product after being </w:t>
      </w:r>
      <w:r>
        <w:rPr>
          <w:rFonts w:ascii="Times New Roman" w:hAnsi="Times New Roman" w:eastAsia="宋体" w:cs="Times New Roman"/>
          <w:bCs/>
          <w:sz w:val="22"/>
        </w:rPr>
        <w:t>obtained</w:t>
      </w:r>
      <w:r>
        <w:rPr>
          <w:rFonts w:ascii="Times New Roman" w:hAnsi="Times New Roman" w:eastAsia="宋体" w:cs="Times New Roman"/>
          <w:sz w:val="22"/>
        </w:rPr>
        <w:t>.</w:t>
      </w:r>
    </w:p>
    <w:p>
      <w:pPr>
        <w:tabs>
          <w:tab w:val="left" w:pos="1204"/>
        </w:tabs>
        <w:adjustRightInd w:val="0"/>
        <w:snapToGrid w:val="0"/>
        <w:spacing w:after="312" w:afterLines="100" w:line="259" w:lineRule="auto"/>
        <w:jc w:val="left"/>
        <w:rPr>
          <w:rFonts w:ascii="Times New Roman" w:hAnsi="Times New Roman" w:eastAsia="宋体" w:cs="Times New Roman"/>
          <w:sz w:val="22"/>
        </w:rPr>
      </w:pPr>
      <w:r>
        <w:rPr>
          <w:rFonts w:ascii="Times New Roman" w:hAnsi="Times New Roman" w:eastAsia="宋体" w:cs="Times New Roman"/>
          <w:b/>
          <w:bCs/>
          <w:sz w:val="22"/>
        </w:rPr>
        <w:t>Article 8</w:t>
      </w:r>
      <w:r>
        <w:rPr>
          <w:rFonts w:ascii="Times New Roman" w:hAnsi="Times New Roman" w:eastAsia="宋体" w:cs="Times New Roman"/>
          <w:sz w:val="22"/>
        </w:rPr>
        <w:tab/>
      </w:r>
      <w:r>
        <w:rPr>
          <w:rFonts w:ascii="Times New Roman" w:hAnsi="Times New Roman" w:eastAsia="宋体" w:cs="Times New Roman"/>
          <w:sz w:val="22"/>
        </w:rPr>
        <w:t>A Non-FF Member</w:t>
      </w:r>
      <w:r>
        <w:rPr>
          <w:rFonts w:ascii="Times New Roman" w:hAnsi="Times New Roman" w:eastAsia="宋体" w:cs="Times New Roman"/>
          <w:bCs/>
          <w:sz w:val="22"/>
        </w:rPr>
        <w:t>, OSNBP,</w:t>
      </w:r>
      <w:r>
        <w:rPr>
          <w:rFonts w:ascii="Times New Roman" w:hAnsi="Times New Roman" w:eastAsia="宋体" w:cs="Times New Roman"/>
          <w:sz w:val="22"/>
        </w:rPr>
        <w:t xml:space="preserve"> or Client applying for a nearby delivery month arbitrage position quota of certain contracts shall submit the following materials to the Exchange:</w:t>
      </w:r>
    </w:p>
    <w:p>
      <w:pPr>
        <w:widowControl/>
        <w:tabs>
          <w:tab w:val="left" w:pos="567"/>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(i)</w:t>
      </w:r>
      <w:r>
        <w:rPr>
          <w:rFonts w:ascii="Times New Roman" w:hAnsi="Times New Roman" w:eastAsia="宋体" w:cs="Times New Roman"/>
          <w:sz w:val="22"/>
        </w:rPr>
        <w:tab/>
      </w:r>
      <w:r>
        <w:rPr>
          <w:rFonts w:ascii="Times New Roman" w:hAnsi="Times New Roman" w:eastAsia="宋体" w:cs="Times New Roman"/>
          <w:sz w:val="22"/>
        </w:rPr>
        <w:t xml:space="preserve">an </w:t>
      </w:r>
      <w:r>
        <w:rPr>
          <w:rFonts w:ascii="Times New Roman" w:hAnsi="Times New Roman" w:eastAsia="宋体" w:cs="Times New Roman"/>
          <w:i/>
          <w:iCs/>
          <w:sz w:val="22"/>
        </w:rPr>
        <w:t xml:space="preserve">Application (Approval) Form for Nearby Delivery Month Arbitrage </w:t>
      </w:r>
      <w:r>
        <w:rPr>
          <w:rFonts w:ascii="Times New Roman" w:hAnsi="Times New Roman" w:eastAsia="宋体" w:cs="Times New Roman"/>
          <w:bCs/>
          <w:i/>
          <w:sz w:val="22"/>
        </w:rPr>
        <w:t>Position</w:t>
      </w:r>
      <w:r>
        <w:rPr>
          <w:rFonts w:ascii="Times New Roman" w:hAnsi="Times New Roman" w:eastAsia="宋体" w:cs="Times New Roman"/>
          <w:i/>
          <w:iCs/>
          <w:sz w:val="22"/>
        </w:rPr>
        <w:t xml:space="preserve"> Quota of the Shanghai Futures Exchange</w:t>
      </w:r>
      <w:r>
        <w:rPr>
          <w:rFonts w:ascii="Times New Roman" w:hAnsi="Times New Roman" w:eastAsia="宋体" w:cs="Times New Roman"/>
          <w:sz w:val="22"/>
        </w:rPr>
        <w:t>;</w:t>
      </w:r>
    </w:p>
    <w:p>
      <w:pPr>
        <w:widowControl/>
        <w:tabs>
          <w:tab w:val="left" w:pos="567"/>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(ii)</w:t>
      </w:r>
      <w:r>
        <w:rPr>
          <w:rFonts w:ascii="Times New Roman" w:hAnsi="Times New Roman" w:eastAsia="宋体" w:cs="Times New Roman"/>
          <w:sz w:val="22"/>
        </w:rPr>
        <w:tab/>
      </w:r>
      <w:r>
        <w:rPr>
          <w:rFonts w:ascii="Times New Roman" w:hAnsi="Times New Roman" w:eastAsia="宋体" w:cs="Times New Roman"/>
          <w:sz w:val="22"/>
        </w:rPr>
        <w:t>arbitrage strategies (such as source of funds, size of positions, classification as calendar arbitrage or cross-product arbitrage, arrangements for position opening and reduction, and intention of delivery);</w:t>
      </w:r>
    </w:p>
    <w:p>
      <w:pPr>
        <w:widowControl/>
        <w:tabs>
          <w:tab w:val="left" w:pos="567"/>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(iii)</w:t>
      </w:r>
      <w:r>
        <w:rPr>
          <w:rFonts w:ascii="Times New Roman" w:hAnsi="Times New Roman" w:eastAsia="宋体" w:cs="Times New Roman"/>
          <w:sz w:val="22"/>
        </w:rPr>
        <w:tab/>
      </w:r>
      <w:r>
        <w:rPr>
          <w:rFonts w:ascii="Times New Roman" w:hAnsi="Times New Roman" w:eastAsia="宋体" w:cs="Times New Roman"/>
          <w:sz w:val="22"/>
        </w:rPr>
        <w:t>an analysis of the spread divergence of the contract; and</w:t>
      </w:r>
    </w:p>
    <w:p>
      <w:pPr>
        <w:widowControl/>
        <w:tabs>
          <w:tab w:val="left" w:pos="567"/>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sz w:val="22"/>
        </w:rPr>
        <w:t>(iv)</w:t>
      </w:r>
      <w:r>
        <w:rPr>
          <w:rFonts w:ascii="Times New Roman" w:hAnsi="Times New Roman" w:eastAsia="宋体" w:cs="Times New Roman"/>
          <w:sz w:val="22"/>
        </w:rPr>
        <w:tab/>
      </w:r>
      <w:r>
        <w:rPr>
          <w:rFonts w:ascii="Times New Roman" w:hAnsi="Times New Roman" w:eastAsia="宋体" w:cs="Times New Roman"/>
          <w:sz w:val="22"/>
        </w:rPr>
        <w:t>other materials required by the Exchange.</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9</w:t>
      </w:r>
      <w:r>
        <w:rPr>
          <w:rFonts w:ascii="Times New Roman" w:hAnsi="Times New Roman" w:eastAsia="宋体" w:cs="Times New Roman"/>
          <w:sz w:val="22"/>
        </w:rPr>
        <w:tab/>
      </w:r>
      <w:r>
        <w:rPr>
          <w:rFonts w:ascii="Times New Roman" w:hAnsi="Times New Roman" w:eastAsia="宋体" w:cs="Times New Roman"/>
          <w:sz w:val="22"/>
        </w:rPr>
        <w:t xml:space="preserve">The Exchange will determine the regular month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of an applicant based on, among others, its credit standing, past transactions, and usage of existing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quotas. The regular month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shall not exceed the quantity specified in the supporting materials.</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10</w:t>
      </w:r>
      <w:r>
        <w:rPr>
          <w:rFonts w:ascii="Times New Roman" w:hAnsi="Times New Roman" w:eastAsia="宋体" w:cs="Times New Roman"/>
          <w:sz w:val="22"/>
        </w:rPr>
        <w:tab/>
      </w:r>
      <w:r>
        <w:rPr>
          <w:rFonts w:ascii="Times New Roman" w:hAnsi="Times New Roman" w:eastAsia="宋体" w:cs="Times New Roman"/>
          <w:sz w:val="22"/>
        </w:rPr>
        <w:t xml:space="preserve">The Exchange will determine the nearby delivery month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of an applicant based on, among others, its credit standing, past transactions, positions in relevant contracts, quantity of deliverable commodities, and whether the contracts’ spread diverges from the normal spread. The nearby delivery month arbitrage</w:t>
      </w:r>
      <w:r>
        <w:rPr>
          <w:rFonts w:ascii="Times New Roman" w:hAnsi="Times New Roman" w:eastAsia="宋体" w:cs="Times New Roman"/>
          <w:bCs/>
          <w:sz w:val="22"/>
        </w:rPr>
        <w:t xml:space="preserve"> position</w:t>
      </w:r>
      <w:r>
        <w:rPr>
          <w:rFonts w:ascii="Times New Roman" w:hAnsi="Times New Roman" w:eastAsia="宋体" w:cs="Times New Roman"/>
          <w:sz w:val="22"/>
        </w:rPr>
        <w:t xml:space="preserve"> quota shall not exceed the quantity specified in the supporting materials.</w:t>
      </w:r>
    </w:p>
    <w:p>
      <w:pPr>
        <w:widowControl/>
        <w:tabs>
          <w:tab w:val="left" w:pos="1701"/>
        </w:tabs>
        <w:adjustRightInd w:val="0"/>
        <w:snapToGrid w:val="0"/>
        <w:spacing w:after="312" w:afterLines="100" w:line="259" w:lineRule="auto"/>
        <w:jc w:val="center"/>
        <w:outlineLvl w:val="1"/>
        <w:rPr>
          <w:rFonts w:ascii="Times New Roman" w:hAnsi="Times New Roman" w:eastAsia="宋体" w:cs="Times New Roman"/>
          <w:b/>
          <w:sz w:val="22"/>
        </w:rPr>
      </w:pPr>
      <w:r>
        <w:rPr>
          <w:rFonts w:ascii="Times New Roman" w:hAnsi="Times New Roman" w:eastAsia="宋体" w:cs="Times New Roman"/>
          <w:b/>
          <w:sz w:val="22"/>
        </w:rPr>
        <w:t>CHAPTER 3</w:t>
      </w:r>
      <w:r>
        <w:rPr>
          <w:rFonts w:ascii="Times New Roman" w:hAnsi="Times New Roman" w:eastAsia="宋体" w:cs="Times New Roman"/>
          <w:b/>
          <w:sz w:val="22"/>
        </w:rPr>
        <w:tab/>
      </w:r>
      <w:r>
        <w:rPr>
          <w:rFonts w:ascii="Times New Roman" w:hAnsi="Times New Roman" w:eastAsia="宋体" w:cs="Times New Roman"/>
          <w:b/>
          <w:sz w:val="22"/>
        </w:rPr>
        <w:t>ARBITRAGE TRADING</w:t>
      </w:r>
    </w:p>
    <w:p>
      <w:pPr>
        <w:tabs>
          <w:tab w:val="left" w:pos="1204"/>
        </w:tabs>
        <w:adjustRightInd w:val="0"/>
        <w:snapToGrid w:val="0"/>
        <w:spacing w:after="312" w:afterLines="100" w:line="259" w:lineRule="auto"/>
        <w:jc w:val="left"/>
        <w:rPr>
          <w:rFonts w:ascii="Times New Roman" w:hAnsi="Times New Roman" w:eastAsia="宋体" w:cs="Times New Roman"/>
          <w:strike/>
          <w:kern w:val="0"/>
          <w:sz w:val="22"/>
        </w:rPr>
      </w:pPr>
      <w:r>
        <w:rPr>
          <w:rFonts w:ascii="Times New Roman" w:hAnsi="Times New Roman" w:eastAsia="宋体" w:cs="Times New Roman"/>
          <w:b/>
          <w:bCs/>
          <w:sz w:val="22"/>
        </w:rPr>
        <w:t>Article 11</w:t>
      </w:r>
      <w:r>
        <w:rPr>
          <w:rFonts w:ascii="Times New Roman" w:hAnsi="Times New Roman" w:eastAsia="宋体" w:cs="Times New Roman"/>
          <w:sz w:val="22"/>
        </w:rPr>
        <w:tab/>
      </w:r>
      <w:r>
        <w:rPr>
          <w:rFonts w:ascii="Times New Roman" w:hAnsi="Times New Roman" w:eastAsia="宋体" w:cs="Times New Roman"/>
          <w:sz w:val="22"/>
        </w:rPr>
        <w:t>Aggregate</w:t>
      </w:r>
      <w:r>
        <w:rPr>
          <w:rFonts w:ascii="Times New Roman" w:hAnsi="Times New Roman" w:eastAsia="宋体" w:cs="Times New Roman"/>
          <w:b/>
          <w:bCs/>
          <w:sz w:val="22"/>
        </w:rPr>
        <w:t xml:space="preserve"> </w:t>
      </w:r>
      <w:r>
        <w:rPr>
          <w:rFonts w:ascii="Times New Roman" w:hAnsi="Times New Roman" w:eastAsia="宋体" w:cs="Times New Roman"/>
          <w:sz w:val="22"/>
        </w:rPr>
        <w:t xml:space="preserve">general positions held by a Client through different </w:t>
      </w:r>
      <w:r>
        <w:rPr>
          <w:rFonts w:ascii="Times New Roman" w:hAnsi="Times New Roman" w:eastAsia="宋体" w:cs="Times New Roman"/>
          <w:bCs/>
          <w:sz w:val="22"/>
        </w:rPr>
        <w:t>Account Opening Institutions</w:t>
      </w:r>
      <w:r>
        <w:rPr>
          <w:rFonts w:ascii="Times New Roman" w:hAnsi="Times New Roman" w:eastAsia="宋体" w:cs="Times New Roman"/>
          <w:sz w:val="22"/>
        </w:rPr>
        <w:t xml:space="preserve"> shall not exceed the percentage-based position limit or fixed-amount position limit for the contracts concerned in different periods of trading plus the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for the same period.</w:t>
      </w:r>
    </w:p>
    <w:p>
      <w:pPr>
        <w:widowControl/>
        <w:tabs>
          <w:tab w:val="left" w:pos="1701"/>
        </w:tabs>
        <w:adjustRightInd w:val="0"/>
        <w:snapToGrid w:val="0"/>
        <w:spacing w:after="312" w:afterLines="100" w:line="259" w:lineRule="auto"/>
        <w:jc w:val="center"/>
        <w:outlineLvl w:val="1"/>
        <w:rPr>
          <w:rFonts w:ascii="Times New Roman" w:hAnsi="Times New Roman" w:eastAsia="宋体" w:cs="Times New Roman"/>
          <w:b/>
          <w:sz w:val="22"/>
        </w:rPr>
      </w:pPr>
      <w:r>
        <w:rPr>
          <w:rFonts w:ascii="Times New Roman" w:hAnsi="Times New Roman" w:eastAsia="宋体" w:cs="Times New Roman"/>
          <w:b/>
          <w:sz w:val="22"/>
        </w:rPr>
        <w:t>CHAPTER 4</w:t>
      </w:r>
      <w:r>
        <w:rPr>
          <w:rFonts w:ascii="Times New Roman" w:hAnsi="Times New Roman" w:eastAsia="宋体" w:cs="Times New Roman"/>
          <w:b/>
          <w:sz w:val="22"/>
        </w:rPr>
        <w:tab/>
      </w:r>
      <w:r>
        <w:rPr>
          <w:rFonts w:ascii="Times New Roman" w:hAnsi="Times New Roman" w:eastAsia="宋体" w:cs="Times New Roman"/>
          <w:b/>
          <w:sz w:val="22"/>
        </w:rPr>
        <w:t>SUPERVISION</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12</w:t>
      </w:r>
      <w:r>
        <w:rPr>
          <w:rFonts w:ascii="Times New Roman" w:hAnsi="Times New Roman" w:eastAsia="宋体" w:cs="Times New Roman"/>
          <w:sz w:val="22"/>
        </w:rPr>
        <w:tab/>
      </w:r>
      <w:r>
        <w:rPr>
          <w:rFonts w:ascii="Times New Roman" w:hAnsi="Times New Roman" w:eastAsia="宋体" w:cs="Times New Roman"/>
          <w:sz w:val="22"/>
        </w:rPr>
        <w:t xml:space="preserve">The Exchange will review an application for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within five (5) trading days of receiving the application.</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13</w:t>
      </w:r>
      <w:r>
        <w:rPr>
          <w:rFonts w:ascii="Times New Roman" w:hAnsi="Times New Roman" w:eastAsia="宋体" w:cs="Times New Roman"/>
          <w:sz w:val="22"/>
        </w:rPr>
        <w:tab/>
      </w:r>
      <w:r>
        <w:rPr>
          <w:rFonts w:ascii="Times New Roman" w:hAnsi="Times New Roman" w:eastAsia="宋体" w:cs="Times New Roman"/>
          <w:sz w:val="22"/>
        </w:rPr>
        <w:t>A Non-FF Member</w:t>
      </w:r>
      <w:r>
        <w:rPr>
          <w:rFonts w:ascii="Times New Roman" w:hAnsi="Times New Roman" w:eastAsia="宋体" w:cs="Times New Roman"/>
          <w:bCs/>
          <w:sz w:val="22"/>
        </w:rPr>
        <w:t>, OSNBP,</w:t>
      </w:r>
      <w:r>
        <w:rPr>
          <w:rFonts w:ascii="Times New Roman" w:hAnsi="Times New Roman" w:eastAsia="宋体" w:cs="Times New Roman"/>
          <w:sz w:val="22"/>
        </w:rPr>
        <w:t xml:space="preserve"> or Client that needs to adjust its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shall timely apply to the Exchange.</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14</w:t>
      </w:r>
      <w:r>
        <w:rPr>
          <w:rFonts w:ascii="Times New Roman" w:hAnsi="Times New Roman" w:eastAsia="宋体" w:cs="Times New Roman"/>
          <w:sz w:val="22"/>
        </w:rPr>
        <w:tab/>
      </w:r>
      <w:r>
        <w:rPr>
          <w:rFonts w:ascii="Times New Roman" w:hAnsi="Times New Roman" w:eastAsia="宋体" w:cs="Times New Roman"/>
          <w:sz w:val="22"/>
        </w:rPr>
        <w:t xml:space="preserve">The Exchange regulates the usage of the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quotas </w:t>
      </w:r>
      <w:r>
        <w:rPr>
          <w:rFonts w:ascii="Times New Roman" w:hAnsi="Times New Roman" w:eastAsia="宋体" w:cs="Times New Roman"/>
          <w:bCs/>
          <w:sz w:val="22"/>
        </w:rPr>
        <w:t>obtained by</w:t>
      </w:r>
      <w:r>
        <w:rPr>
          <w:rFonts w:ascii="Times New Roman" w:hAnsi="Times New Roman" w:eastAsia="宋体" w:cs="Times New Roman"/>
          <w:sz w:val="22"/>
        </w:rPr>
        <w:t xml:space="preserve"> Non-FF Members</w:t>
      </w:r>
      <w:r>
        <w:rPr>
          <w:rFonts w:ascii="Times New Roman" w:hAnsi="Times New Roman" w:eastAsia="宋体" w:cs="Times New Roman"/>
          <w:bCs/>
          <w:sz w:val="22"/>
        </w:rPr>
        <w:t>, OSNBPs,</w:t>
      </w:r>
      <w:r>
        <w:rPr>
          <w:rFonts w:ascii="Times New Roman" w:hAnsi="Times New Roman" w:eastAsia="宋体" w:cs="Times New Roman"/>
          <w:sz w:val="22"/>
        </w:rPr>
        <w:t xml:space="preserve"> and Clients and may adjust such </w:t>
      </w:r>
      <w:r>
        <w:rPr>
          <w:rFonts w:ascii="Times New Roman" w:hAnsi="Times New Roman" w:eastAsia="宋体" w:cs="Times New Roman"/>
          <w:bCs/>
          <w:sz w:val="22"/>
        </w:rPr>
        <w:t>position</w:t>
      </w:r>
      <w:r>
        <w:rPr>
          <w:rFonts w:ascii="Times New Roman" w:hAnsi="Times New Roman" w:eastAsia="宋体" w:cs="Times New Roman"/>
          <w:sz w:val="22"/>
        </w:rPr>
        <w:t xml:space="preserve"> quotas based on market conditions.</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15</w:t>
      </w:r>
      <w:r>
        <w:rPr>
          <w:rFonts w:ascii="Times New Roman" w:hAnsi="Times New Roman" w:eastAsia="宋体" w:cs="Times New Roman"/>
          <w:sz w:val="22"/>
        </w:rPr>
        <w:tab/>
      </w:r>
      <w:r>
        <w:rPr>
          <w:rFonts w:ascii="Times New Roman" w:hAnsi="Times New Roman" w:eastAsia="宋体" w:cs="Times New Roman"/>
          <w:sz w:val="22"/>
        </w:rPr>
        <w:t>A Non-FF Member</w:t>
      </w:r>
      <w:r>
        <w:rPr>
          <w:rFonts w:ascii="Times New Roman" w:hAnsi="Times New Roman" w:eastAsia="宋体" w:cs="Times New Roman"/>
          <w:bCs/>
          <w:sz w:val="22"/>
        </w:rPr>
        <w:t>, OSNBP,</w:t>
      </w:r>
      <w:r>
        <w:rPr>
          <w:rFonts w:ascii="Times New Roman" w:hAnsi="Times New Roman" w:eastAsia="宋体" w:cs="Times New Roman"/>
          <w:sz w:val="22"/>
        </w:rPr>
        <w:t xml:space="preserve"> or Client, during the validity period of its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shall timely notify the Exchange of any material change to its business. The Exchange has the right to adjust the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based on the new circumstances.</w:t>
      </w:r>
    </w:p>
    <w:p>
      <w:pPr>
        <w:tabs>
          <w:tab w:val="left" w:pos="1204"/>
        </w:tabs>
        <w:adjustRightInd w:val="0"/>
        <w:snapToGrid w:val="0"/>
        <w:spacing w:after="312" w:afterLines="100" w:line="259" w:lineRule="auto"/>
        <w:jc w:val="left"/>
        <w:rPr>
          <w:rFonts w:ascii="Times New Roman" w:hAnsi="Times New Roman" w:eastAsia="宋体" w:cs="Times New Roman"/>
          <w:sz w:val="22"/>
        </w:rPr>
      </w:pPr>
      <w:r>
        <w:rPr>
          <w:rFonts w:ascii="Times New Roman" w:hAnsi="Times New Roman" w:eastAsia="宋体" w:cs="Times New Roman"/>
          <w:b/>
          <w:bCs/>
          <w:sz w:val="22"/>
        </w:rPr>
        <w:t>Article 16</w:t>
      </w:r>
      <w:r>
        <w:rPr>
          <w:rFonts w:ascii="Times New Roman" w:hAnsi="Times New Roman" w:eastAsia="宋体" w:cs="Times New Roman"/>
          <w:sz w:val="22"/>
        </w:rPr>
        <w:tab/>
      </w:r>
      <w:r>
        <w:rPr>
          <w:rFonts w:ascii="Times New Roman" w:hAnsi="Times New Roman" w:eastAsia="宋体" w:cs="Times New Roman"/>
          <w:sz w:val="22"/>
        </w:rPr>
        <w:t xml:space="preserve">If the aggregate </w:t>
      </w:r>
      <w:r>
        <w:rPr>
          <w:rFonts w:ascii="Times New Roman" w:hAnsi="Times New Roman" w:eastAsia="宋体" w:cs="Times New Roman"/>
          <w:bCs/>
          <w:sz w:val="22"/>
        </w:rPr>
        <w:t>general</w:t>
      </w:r>
      <w:r>
        <w:rPr>
          <w:rFonts w:ascii="Times New Roman" w:hAnsi="Times New Roman" w:eastAsia="宋体" w:cs="Times New Roman"/>
          <w:sz w:val="22"/>
        </w:rPr>
        <w:t xml:space="preserve"> positions held by a Non-FF Member</w:t>
      </w:r>
      <w:r>
        <w:rPr>
          <w:rFonts w:ascii="Times New Roman" w:hAnsi="Times New Roman" w:eastAsia="宋体" w:cs="Times New Roman"/>
          <w:bCs/>
          <w:sz w:val="22"/>
        </w:rPr>
        <w:t>, OSNBP,</w:t>
      </w:r>
      <w:r>
        <w:rPr>
          <w:rFonts w:ascii="Times New Roman" w:hAnsi="Times New Roman" w:eastAsia="宋体" w:cs="Times New Roman"/>
          <w:sz w:val="22"/>
        </w:rPr>
        <w:t xml:space="preserve"> or Client exceed the percentage-based position limit or fixed-amount position limit for the contracts concerned in different periods of trading plus the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for the same period, then the Non-FF Member</w:t>
      </w:r>
      <w:r>
        <w:rPr>
          <w:rFonts w:ascii="Times New Roman" w:hAnsi="Times New Roman" w:eastAsia="宋体" w:cs="Times New Roman"/>
          <w:bCs/>
          <w:sz w:val="22"/>
        </w:rPr>
        <w:t>, OSNBP,</w:t>
      </w:r>
      <w:r>
        <w:rPr>
          <w:rFonts w:ascii="Times New Roman" w:hAnsi="Times New Roman" w:eastAsia="宋体" w:cs="Times New Roman"/>
          <w:sz w:val="22"/>
        </w:rPr>
        <w:t xml:space="preserve"> or Client shall adjust its positions by the end of the first trading session on the following trading day. If the adjustment is not made before the deadline or fails to eliminate the excess, the Exchange may exercise forced position liquidation.</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17</w:t>
      </w:r>
      <w:r>
        <w:rPr>
          <w:rFonts w:ascii="Times New Roman" w:hAnsi="Times New Roman" w:eastAsia="宋体" w:cs="Times New Roman"/>
          <w:sz w:val="22"/>
        </w:rPr>
        <w:tab/>
      </w:r>
      <w:r>
        <w:rPr>
          <w:rFonts w:ascii="Times New Roman" w:hAnsi="Times New Roman" w:eastAsia="宋体" w:cs="Times New Roman"/>
          <w:sz w:val="22"/>
        </w:rPr>
        <w:t>If a Non-FF Member</w:t>
      </w:r>
      <w:r>
        <w:rPr>
          <w:rFonts w:ascii="Times New Roman" w:hAnsi="Times New Roman" w:eastAsia="宋体" w:cs="Times New Roman"/>
          <w:bCs/>
          <w:sz w:val="22"/>
        </w:rPr>
        <w:t>, OSNBP,</w:t>
      </w:r>
      <w:r>
        <w:rPr>
          <w:rFonts w:ascii="Times New Roman" w:hAnsi="Times New Roman" w:eastAsia="宋体" w:cs="Times New Roman"/>
          <w:sz w:val="22"/>
        </w:rPr>
        <w:t xml:space="preserve"> or Client engages in fraud or otherwise breaches any laws, regulations, or rules of the Exchange when applying for or using an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the Exchange may deny its application, adjust or cancel its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take such measures as suspending the opening of new positions, requiring the close-out of positions within a specified time period, or exercising forced position liquidation if necessary, and handle the case according to the </w:t>
      </w:r>
      <w:r>
        <w:rPr>
          <w:rFonts w:ascii="Times New Roman" w:hAnsi="Times New Roman" w:eastAsia="宋体" w:cs="Times New Roman"/>
          <w:i/>
          <w:iCs/>
          <w:sz w:val="22"/>
        </w:rPr>
        <w:t>Enforcement Rules of the Shanghai Futures Exchange</w:t>
      </w:r>
      <w:r>
        <w:rPr>
          <w:rFonts w:ascii="Times New Roman" w:hAnsi="Times New Roman" w:eastAsia="宋体" w:cs="Times New Roman"/>
          <w:sz w:val="22"/>
        </w:rPr>
        <w:t>.</w:t>
      </w:r>
    </w:p>
    <w:p>
      <w:pPr>
        <w:tabs>
          <w:tab w:val="left" w:pos="1204"/>
        </w:tabs>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b/>
          <w:bCs/>
          <w:sz w:val="22"/>
        </w:rPr>
        <w:t>Article 18</w:t>
      </w:r>
      <w:r>
        <w:rPr>
          <w:rFonts w:ascii="Times New Roman" w:hAnsi="Times New Roman" w:eastAsia="宋体" w:cs="Times New Roman"/>
          <w:sz w:val="22"/>
        </w:rPr>
        <w:tab/>
      </w:r>
      <w:r>
        <w:rPr>
          <w:rFonts w:ascii="Times New Roman" w:hAnsi="Times New Roman" w:eastAsia="宋体" w:cs="Times New Roman"/>
          <w:sz w:val="22"/>
        </w:rPr>
        <w:t>If a Non-FF Member</w:t>
      </w:r>
      <w:r>
        <w:rPr>
          <w:rFonts w:ascii="Times New Roman" w:hAnsi="Times New Roman" w:eastAsia="宋体" w:cs="Times New Roman"/>
          <w:bCs/>
          <w:sz w:val="22"/>
        </w:rPr>
        <w:t>, OSNBP,</w:t>
      </w:r>
      <w:r>
        <w:rPr>
          <w:rFonts w:ascii="Times New Roman" w:hAnsi="Times New Roman" w:eastAsia="宋体" w:cs="Times New Roman"/>
          <w:sz w:val="22"/>
        </w:rPr>
        <w:t xml:space="preserve"> or Client uses its</w:t>
      </w:r>
      <w:r>
        <w:rPr>
          <w:rFonts w:ascii="Times New Roman" w:hAnsi="Times New Roman" w:eastAsia="宋体" w:cs="Times New Roman"/>
          <w:bCs/>
          <w:sz w:val="22"/>
        </w:rPr>
        <w:t xml:space="preserve"> received</w:t>
      </w:r>
      <w:r>
        <w:rPr>
          <w:rFonts w:ascii="Times New Roman" w:hAnsi="Times New Roman" w:eastAsia="宋体" w:cs="Times New Roman"/>
          <w:sz w:val="22"/>
        </w:rPr>
        <w:t xml:space="preserve"> arbitrage</w:t>
      </w:r>
      <w:r>
        <w:rPr>
          <w:rFonts w:ascii="Times New Roman" w:hAnsi="Times New Roman" w:eastAsia="宋体" w:cs="Times New Roman"/>
          <w:bCs/>
          <w:sz w:val="22"/>
        </w:rPr>
        <w:t xml:space="preserve"> position</w:t>
      </w:r>
      <w:r>
        <w:rPr>
          <w:rFonts w:ascii="Times New Roman" w:hAnsi="Times New Roman" w:eastAsia="宋体" w:cs="Times New Roman"/>
          <w:sz w:val="22"/>
        </w:rPr>
        <w:t xml:space="preserve"> quota to influence or attempt to influence market price, the Exchange may take such measures as giving a verbal reminder or written warning, adjusting or canceling the arbitrage </w:t>
      </w:r>
      <w:r>
        <w:rPr>
          <w:rFonts w:ascii="Times New Roman" w:hAnsi="Times New Roman" w:eastAsia="宋体" w:cs="Times New Roman"/>
          <w:bCs/>
          <w:sz w:val="22"/>
        </w:rPr>
        <w:t>position</w:t>
      </w:r>
      <w:r>
        <w:rPr>
          <w:rFonts w:ascii="Times New Roman" w:hAnsi="Times New Roman" w:eastAsia="宋体" w:cs="Times New Roman"/>
          <w:sz w:val="22"/>
        </w:rPr>
        <w:t xml:space="preserve"> quota, and suspending the opening of new positions, requiring the close-out of positions within a specified time period, or exercising forced position liquidation if necessary, and handling the case according to the </w:t>
      </w:r>
      <w:r>
        <w:rPr>
          <w:rFonts w:ascii="Times New Roman" w:hAnsi="Times New Roman" w:eastAsia="宋体" w:cs="Times New Roman"/>
          <w:i/>
          <w:iCs/>
          <w:sz w:val="22"/>
        </w:rPr>
        <w:t>Enforcement Rules of the Shanghai Futures Exchange</w:t>
      </w:r>
      <w:r>
        <w:rPr>
          <w:rFonts w:ascii="Times New Roman" w:hAnsi="Times New Roman" w:eastAsia="宋体" w:cs="Times New Roman"/>
          <w:sz w:val="22"/>
        </w:rPr>
        <w:t>.</w:t>
      </w:r>
    </w:p>
    <w:p>
      <w:pPr>
        <w:tabs>
          <w:tab w:val="left" w:pos="1204"/>
        </w:tabs>
        <w:adjustRightInd w:val="0"/>
        <w:snapToGrid w:val="0"/>
        <w:spacing w:after="312" w:afterLines="100" w:line="259" w:lineRule="auto"/>
        <w:jc w:val="left"/>
        <w:rPr>
          <w:rFonts w:ascii="Times New Roman" w:hAnsi="Times New Roman" w:eastAsia="宋体" w:cs="Times New Roman"/>
          <w:sz w:val="22"/>
        </w:rPr>
      </w:pPr>
      <w:r>
        <w:rPr>
          <w:rFonts w:ascii="Times New Roman" w:hAnsi="Times New Roman" w:eastAsia="宋体" w:cs="Times New Roman"/>
          <w:b/>
          <w:bCs/>
          <w:sz w:val="22"/>
        </w:rPr>
        <w:t>Article 19</w:t>
      </w:r>
      <w:r>
        <w:rPr>
          <w:rFonts w:ascii="Times New Roman" w:hAnsi="Times New Roman" w:eastAsia="宋体" w:cs="Times New Roman"/>
          <w:sz w:val="22"/>
        </w:rPr>
        <w:tab/>
      </w:r>
      <w:r>
        <w:rPr>
          <w:rFonts w:ascii="Times New Roman" w:hAnsi="Times New Roman" w:eastAsia="宋体" w:cs="Times New Roman"/>
          <w:sz w:val="22"/>
        </w:rPr>
        <w:t>The Exchange may prescribe the collection of trading margin or transaction fees of arbitrage trading.</w:t>
      </w:r>
    </w:p>
    <w:p>
      <w:pPr>
        <w:widowControl/>
        <w:tabs>
          <w:tab w:val="left" w:pos="1701"/>
        </w:tabs>
        <w:adjustRightInd w:val="0"/>
        <w:snapToGrid w:val="0"/>
        <w:spacing w:after="312" w:afterLines="100" w:line="259" w:lineRule="auto"/>
        <w:jc w:val="center"/>
        <w:outlineLvl w:val="1"/>
        <w:rPr>
          <w:rFonts w:ascii="Times New Roman" w:hAnsi="Times New Roman" w:eastAsia="宋体" w:cs="Times New Roman"/>
          <w:b/>
          <w:sz w:val="22"/>
        </w:rPr>
      </w:pPr>
      <w:r>
        <w:rPr>
          <w:rFonts w:ascii="Times New Roman" w:hAnsi="Times New Roman" w:eastAsia="宋体" w:cs="Times New Roman"/>
          <w:b/>
          <w:sz w:val="22"/>
        </w:rPr>
        <w:t>CHAPTER 5</w:t>
      </w:r>
      <w:r>
        <w:rPr>
          <w:rFonts w:ascii="Times New Roman" w:hAnsi="Times New Roman" w:eastAsia="宋体" w:cs="Times New Roman"/>
          <w:b/>
          <w:sz w:val="22"/>
        </w:rPr>
        <w:tab/>
      </w:r>
      <w:r>
        <w:rPr>
          <w:rFonts w:ascii="Times New Roman" w:hAnsi="Times New Roman" w:eastAsia="宋体" w:cs="Times New Roman"/>
          <w:b/>
          <w:sz w:val="22"/>
        </w:rPr>
        <w:t>MISCELLANEOUS</w:t>
      </w:r>
    </w:p>
    <w:p>
      <w:pPr>
        <w:tabs>
          <w:tab w:val="left" w:pos="1204"/>
        </w:tabs>
        <w:adjustRightInd w:val="0"/>
        <w:snapToGrid w:val="0"/>
        <w:spacing w:after="312" w:afterLines="100" w:line="259" w:lineRule="auto"/>
        <w:jc w:val="left"/>
        <w:rPr>
          <w:rFonts w:ascii="Times New Roman" w:hAnsi="Times New Roman" w:eastAsia="宋体" w:cs="Times New Roman"/>
          <w:bCs/>
          <w:sz w:val="22"/>
        </w:rPr>
      </w:pPr>
      <w:r>
        <w:rPr>
          <w:rFonts w:ascii="Times New Roman" w:hAnsi="Times New Roman" w:eastAsia="宋体" w:cs="Times New Roman"/>
          <w:b/>
          <w:bCs/>
          <w:sz w:val="22"/>
        </w:rPr>
        <w:t>Article 20</w:t>
      </w:r>
      <w:r>
        <w:rPr>
          <w:rFonts w:ascii="Times New Roman" w:hAnsi="Times New Roman" w:eastAsia="宋体" w:cs="Times New Roman"/>
          <w:bCs/>
          <w:sz w:val="22"/>
        </w:rPr>
        <w:tab/>
      </w:r>
      <w:r>
        <w:rPr>
          <w:rFonts w:ascii="Times New Roman" w:hAnsi="Times New Roman" w:eastAsia="宋体" w:cs="Times New Roman"/>
          <w:bCs/>
          <w:snapToGrid w:val="0"/>
          <w:kern w:val="22"/>
          <w:sz w:val="22"/>
        </w:rPr>
        <w:t xml:space="preserve">To the extent of any inconsistency between these </w:t>
      </w:r>
      <w:r>
        <w:rPr>
          <w:rFonts w:ascii="Times New Roman" w:hAnsi="Times New Roman" w:eastAsia="宋体" w:cs="Times New Roman"/>
          <w:bCs/>
          <w:i/>
          <w:iCs/>
          <w:sz w:val="22"/>
        </w:rPr>
        <w:t>Arbitrage Trading</w:t>
      </w:r>
      <w:r>
        <w:rPr>
          <w:rFonts w:ascii="Times New Roman" w:hAnsi="Times New Roman" w:eastAsia="宋体" w:cs="Times New Roman"/>
          <w:bCs/>
          <w:i/>
          <w:iCs/>
          <w:snapToGrid w:val="0"/>
          <w:kern w:val="22"/>
          <w:sz w:val="22"/>
        </w:rPr>
        <w:t xml:space="preserve"> Rules</w:t>
      </w:r>
      <w:r>
        <w:rPr>
          <w:rFonts w:ascii="Times New Roman" w:hAnsi="Times New Roman" w:eastAsia="宋体" w:cs="Times New Roman"/>
          <w:bCs/>
          <w:snapToGrid w:val="0"/>
          <w:kern w:val="22"/>
          <w:sz w:val="22"/>
        </w:rPr>
        <w:t xml:space="preserve"> and the futures rules for the particular products, the product rules shall prevail.</w:t>
      </w:r>
    </w:p>
    <w:p>
      <w:pPr>
        <w:tabs>
          <w:tab w:val="left" w:pos="1204"/>
        </w:tabs>
        <w:adjustRightInd w:val="0"/>
        <w:snapToGrid w:val="0"/>
        <w:spacing w:after="312" w:afterLines="100" w:line="259" w:lineRule="auto"/>
        <w:jc w:val="left"/>
        <w:rPr>
          <w:rFonts w:ascii="Times New Roman" w:hAnsi="Times New Roman" w:eastAsia="宋体" w:cs="Times New Roman"/>
          <w:bCs/>
          <w:kern w:val="0"/>
          <w:sz w:val="22"/>
        </w:rPr>
      </w:pPr>
      <w:r>
        <w:rPr>
          <w:rFonts w:ascii="Times New Roman" w:hAnsi="Times New Roman" w:eastAsia="宋体" w:cs="Times New Roman"/>
          <w:b/>
          <w:bCs/>
          <w:sz w:val="22"/>
        </w:rPr>
        <w:t>Article 21</w:t>
      </w:r>
      <w:r>
        <w:rPr>
          <w:rFonts w:ascii="Times New Roman" w:hAnsi="Times New Roman" w:eastAsia="宋体" w:cs="Times New Roman"/>
          <w:bCs/>
          <w:sz w:val="22"/>
        </w:rPr>
        <w:tab/>
      </w:r>
      <w:r>
        <w:rPr>
          <w:rFonts w:ascii="Times New Roman" w:hAnsi="Times New Roman" w:eastAsia="宋体" w:cs="Times New Roman"/>
          <w:bCs/>
          <w:sz w:val="22"/>
        </w:rPr>
        <w:t xml:space="preserve">The Exchange reserves the right to interpret these </w:t>
      </w:r>
      <w:r>
        <w:rPr>
          <w:rFonts w:ascii="Times New Roman" w:hAnsi="Times New Roman" w:eastAsia="宋体" w:cs="Times New Roman"/>
          <w:bCs/>
          <w:i/>
          <w:iCs/>
          <w:sz w:val="22"/>
        </w:rPr>
        <w:t>Arbitrage Trading Rules</w:t>
      </w:r>
      <w:r>
        <w:rPr>
          <w:rFonts w:ascii="Times New Roman" w:hAnsi="Times New Roman" w:eastAsia="宋体" w:cs="Times New Roman"/>
          <w:bCs/>
          <w:sz w:val="22"/>
        </w:rPr>
        <w:t>.</w:t>
      </w:r>
    </w:p>
    <w:p>
      <w:pPr>
        <w:tabs>
          <w:tab w:val="left" w:pos="1204"/>
        </w:tabs>
        <w:adjustRightInd w:val="0"/>
        <w:snapToGrid w:val="0"/>
        <w:spacing w:after="312" w:afterLines="100" w:line="259" w:lineRule="auto"/>
        <w:jc w:val="left"/>
        <w:rPr>
          <w:rFonts w:ascii="Times New Roman" w:hAnsi="Times New Roman" w:eastAsia="宋体" w:cs="Times New Roman"/>
          <w:sz w:val="22"/>
        </w:rPr>
      </w:pPr>
      <w:r>
        <w:rPr>
          <w:rFonts w:ascii="Times New Roman" w:hAnsi="Times New Roman" w:eastAsia="宋体" w:cs="Times New Roman"/>
          <w:b/>
          <w:bCs/>
          <w:sz w:val="22"/>
        </w:rPr>
        <w:t>Article 22</w:t>
      </w:r>
      <w:r>
        <w:rPr>
          <w:rFonts w:ascii="Times New Roman" w:hAnsi="Times New Roman" w:eastAsia="宋体" w:cs="Times New Roman"/>
          <w:sz w:val="22"/>
        </w:rPr>
        <w:tab/>
      </w:r>
      <w:r>
        <w:rPr>
          <w:rFonts w:ascii="Times New Roman" w:hAnsi="Times New Roman" w:eastAsia="宋体" w:cs="Times New Roman"/>
          <w:sz w:val="22"/>
        </w:rPr>
        <w:t xml:space="preserve">These </w:t>
      </w:r>
      <w:r>
        <w:rPr>
          <w:rFonts w:ascii="Times New Roman" w:hAnsi="Times New Roman" w:eastAsia="宋体" w:cs="Times New Roman"/>
          <w:i/>
          <w:iCs/>
          <w:sz w:val="22"/>
        </w:rPr>
        <w:t>Arbitrage Trading Rules</w:t>
      </w:r>
      <w:r>
        <w:rPr>
          <w:rFonts w:ascii="Times New Roman" w:hAnsi="Times New Roman" w:eastAsia="宋体" w:cs="Times New Roman"/>
          <w:sz w:val="22"/>
        </w:rPr>
        <w:t xml:space="preserve"> take effect on </w:t>
      </w:r>
      <w:r>
        <w:rPr>
          <w:rFonts w:ascii="Times New Roman" w:hAnsi="Times New Roman" w:eastAsia="仿宋_GB2312"/>
          <w:kern w:val="0"/>
          <w:sz w:val="22"/>
        </w:rPr>
        <w:t>August 8, 2025</w:t>
      </w:r>
      <w:r>
        <w:rPr>
          <w:rFonts w:ascii="Times New Roman" w:hAnsi="Times New Roman" w:eastAsia="宋体" w:cs="Times New Roman"/>
          <w:sz w:val="22"/>
        </w:rPr>
        <w:t>.</w:t>
      </w:r>
    </w:p>
    <w:p>
      <w:pPr>
        <w:tabs>
          <w:tab w:val="left" w:pos="1204"/>
        </w:tabs>
        <w:adjustRightInd w:val="0"/>
        <w:snapToGrid w:val="0"/>
        <w:spacing w:after="312" w:afterLines="100" w:line="259" w:lineRule="auto"/>
        <w:jc w:val="left"/>
        <w:rPr>
          <w:rFonts w:ascii="Times New Roman" w:hAnsi="Times New Roman" w:eastAsia="宋体" w:cs="Times New Roman"/>
          <w:sz w:val="22"/>
        </w:rPr>
      </w:pPr>
    </w:p>
    <w:sectPr>
      <w:footerReference r:id="rId5" w:type="default"/>
      <w:pgSz w:w="11906" w:h="16838"/>
      <w:pgMar w:top="1440" w:right="1440" w:bottom="1440" w:left="1440" w:header="851" w:footer="7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方正大标宋简体">
    <w:panose1 w:val="02000000000000000000"/>
    <w:charset w:val="86"/>
    <w:family w:val="roman"/>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845100"/>
      <w:docPartObj>
        <w:docPartGallery w:val="autotext"/>
      </w:docPartObj>
    </w:sdtPr>
    <w:sdtEndPr>
      <w:rPr>
        <w:rFonts w:ascii="Times New Roman" w:hAnsi="Times New Roman" w:cs="Times New Roman"/>
        <w:sz w:val="20"/>
        <w:szCs w:val="20"/>
      </w:rPr>
    </w:sdtEndPr>
    <w:sdtContent>
      <w:p>
        <w:pPr>
          <w:pStyle w:val="1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3</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7C"/>
    <w:rsid w:val="00004259"/>
    <w:rsid w:val="00041E82"/>
    <w:rsid w:val="000B7089"/>
    <w:rsid w:val="000D5D11"/>
    <w:rsid w:val="000D63EA"/>
    <w:rsid w:val="000F10DF"/>
    <w:rsid w:val="001017E2"/>
    <w:rsid w:val="001477D7"/>
    <w:rsid w:val="00163B7C"/>
    <w:rsid w:val="00183265"/>
    <w:rsid w:val="001B2436"/>
    <w:rsid w:val="001B35D6"/>
    <w:rsid w:val="00241015"/>
    <w:rsid w:val="00286EE6"/>
    <w:rsid w:val="002B1CA5"/>
    <w:rsid w:val="002B2B7E"/>
    <w:rsid w:val="002C7B82"/>
    <w:rsid w:val="002E5277"/>
    <w:rsid w:val="00333887"/>
    <w:rsid w:val="00382C06"/>
    <w:rsid w:val="00385A73"/>
    <w:rsid w:val="003C02BD"/>
    <w:rsid w:val="003C352A"/>
    <w:rsid w:val="003C7C65"/>
    <w:rsid w:val="003D7C93"/>
    <w:rsid w:val="003F11E2"/>
    <w:rsid w:val="004003C1"/>
    <w:rsid w:val="00405036"/>
    <w:rsid w:val="00421785"/>
    <w:rsid w:val="0042597D"/>
    <w:rsid w:val="00474406"/>
    <w:rsid w:val="004828BD"/>
    <w:rsid w:val="004C2FE3"/>
    <w:rsid w:val="004C4F7C"/>
    <w:rsid w:val="004E23DE"/>
    <w:rsid w:val="0054578E"/>
    <w:rsid w:val="0059226E"/>
    <w:rsid w:val="005A1C63"/>
    <w:rsid w:val="005B62A8"/>
    <w:rsid w:val="005C1C00"/>
    <w:rsid w:val="005C48FB"/>
    <w:rsid w:val="0061461D"/>
    <w:rsid w:val="006347C3"/>
    <w:rsid w:val="00650481"/>
    <w:rsid w:val="006535D7"/>
    <w:rsid w:val="006804D2"/>
    <w:rsid w:val="00696029"/>
    <w:rsid w:val="00697DF3"/>
    <w:rsid w:val="006B67DA"/>
    <w:rsid w:val="006D1C45"/>
    <w:rsid w:val="00710979"/>
    <w:rsid w:val="00720890"/>
    <w:rsid w:val="00770D7F"/>
    <w:rsid w:val="00773232"/>
    <w:rsid w:val="00797151"/>
    <w:rsid w:val="007A2145"/>
    <w:rsid w:val="007B680F"/>
    <w:rsid w:val="007F4D37"/>
    <w:rsid w:val="00840535"/>
    <w:rsid w:val="008552BD"/>
    <w:rsid w:val="008643B0"/>
    <w:rsid w:val="0086637C"/>
    <w:rsid w:val="0087324E"/>
    <w:rsid w:val="00894B86"/>
    <w:rsid w:val="008A1152"/>
    <w:rsid w:val="008A4C3E"/>
    <w:rsid w:val="008C5BC4"/>
    <w:rsid w:val="008D5924"/>
    <w:rsid w:val="00921D1A"/>
    <w:rsid w:val="009313D6"/>
    <w:rsid w:val="00960608"/>
    <w:rsid w:val="00965EEB"/>
    <w:rsid w:val="00974EBE"/>
    <w:rsid w:val="009955BF"/>
    <w:rsid w:val="009A7B12"/>
    <w:rsid w:val="009E7A93"/>
    <w:rsid w:val="00A6096A"/>
    <w:rsid w:val="00A63037"/>
    <w:rsid w:val="00A811F8"/>
    <w:rsid w:val="00A92A22"/>
    <w:rsid w:val="00AC2A81"/>
    <w:rsid w:val="00AD6CA1"/>
    <w:rsid w:val="00B071DF"/>
    <w:rsid w:val="00B24DFF"/>
    <w:rsid w:val="00BA4FA9"/>
    <w:rsid w:val="00C018EC"/>
    <w:rsid w:val="00C35B15"/>
    <w:rsid w:val="00C36894"/>
    <w:rsid w:val="00CC4B49"/>
    <w:rsid w:val="00D01EEB"/>
    <w:rsid w:val="00D0546C"/>
    <w:rsid w:val="00D27DF2"/>
    <w:rsid w:val="00D4597A"/>
    <w:rsid w:val="00D701FB"/>
    <w:rsid w:val="00D8323F"/>
    <w:rsid w:val="00E022FF"/>
    <w:rsid w:val="00E14A9F"/>
    <w:rsid w:val="00E249CD"/>
    <w:rsid w:val="00E3088E"/>
    <w:rsid w:val="00E95E9F"/>
    <w:rsid w:val="00EA0DB1"/>
    <w:rsid w:val="00ED6BE6"/>
    <w:rsid w:val="00EF5990"/>
    <w:rsid w:val="00EF6814"/>
    <w:rsid w:val="00F22732"/>
    <w:rsid w:val="00F23318"/>
    <w:rsid w:val="00F3230E"/>
    <w:rsid w:val="00F436DD"/>
    <w:rsid w:val="00F70897"/>
    <w:rsid w:val="00F9110B"/>
    <w:rsid w:val="00FC3F83"/>
    <w:rsid w:val="6B7C116D"/>
    <w:rsid w:val="F8E3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20"/>
    <w:qFormat/>
    <w:uiPriority w:val="9"/>
    <w:pPr>
      <w:tabs>
        <w:tab w:val="left" w:pos="1890"/>
      </w:tabs>
      <w:kinsoku w:val="0"/>
      <w:overflowPunct w:val="0"/>
      <w:autoSpaceDE w:val="0"/>
      <w:autoSpaceDN w:val="0"/>
      <w:adjustRightInd w:val="0"/>
      <w:snapToGrid w:val="0"/>
      <w:spacing w:after="312" w:afterLines="100" w:line="259" w:lineRule="auto"/>
      <w:jc w:val="center"/>
      <w:outlineLvl w:val="0"/>
    </w:pPr>
    <w:rPr>
      <w:rFonts w:ascii="Times New Roman" w:hAnsi="Times New Roman" w:eastAsia="宋体" w:cs="Times New Roman"/>
      <w:b/>
      <w:sz w:val="28"/>
      <w:szCs w:val="28"/>
    </w:rPr>
  </w:style>
  <w:style w:type="paragraph" w:styleId="3">
    <w:name w:val="heading 2"/>
    <w:basedOn w:val="1"/>
    <w:next w:val="1"/>
    <w:link w:val="21"/>
    <w:unhideWhenUsed/>
    <w:qFormat/>
    <w:uiPriority w:val="9"/>
    <w:pPr>
      <w:widowControl/>
      <w:tabs>
        <w:tab w:val="left" w:pos="1701"/>
      </w:tabs>
      <w:adjustRightInd w:val="0"/>
      <w:snapToGrid w:val="0"/>
      <w:spacing w:after="312" w:afterLines="100" w:line="259" w:lineRule="auto"/>
      <w:jc w:val="center"/>
      <w:outlineLvl w:val="1"/>
    </w:pPr>
    <w:rPr>
      <w:rFonts w:ascii="Times New Roman" w:hAnsi="Times New Roman" w:eastAsia="宋体" w:cs="Times New Roman"/>
      <w:b/>
      <w:sz w:val="24"/>
      <w:szCs w:val="24"/>
    </w:rPr>
  </w:style>
  <w:style w:type="paragraph" w:styleId="4">
    <w:name w:val="heading 3"/>
    <w:basedOn w:val="1"/>
    <w:next w:val="1"/>
    <w:link w:val="22"/>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3"/>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line="278" w:lineRule="auto"/>
      <w:jc w:val="left"/>
      <w:outlineLvl w:val="4"/>
    </w:pPr>
    <w:rPr>
      <w:rFonts w:cstheme="majorBidi"/>
      <w:color w:val="2F5597" w:themeColor="accent1" w:themeShade="BF"/>
      <w:sz w:val="24"/>
      <w:szCs w:val="24"/>
      <w14:ligatures w14:val="standardContextual"/>
    </w:rPr>
  </w:style>
  <w:style w:type="paragraph" w:styleId="7">
    <w:name w:val="heading 6"/>
    <w:basedOn w:val="1"/>
    <w:next w:val="1"/>
    <w:link w:val="25"/>
    <w:semiHidden/>
    <w:unhideWhenUsed/>
    <w:qFormat/>
    <w:uiPriority w:val="9"/>
    <w:pPr>
      <w:keepNext/>
      <w:keepLines/>
      <w:spacing w:before="40" w:line="278" w:lineRule="auto"/>
      <w:jc w:val="left"/>
      <w:outlineLvl w:val="5"/>
    </w:pPr>
    <w:rPr>
      <w:rFonts w:cstheme="majorBidi"/>
      <w:b/>
      <w:bCs/>
      <w:color w:val="2F5597" w:themeColor="accent1" w:themeShade="BF"/>
      <w:sz w:val="22"/>
      <w:szCs w:val="24"/>
      <w14:ligatures w14:val="standardContextual"/>
    </w:rPr>
  </w:style>
  <w:style w:type="paragraph" w:styleId="8">
    <w:name w:val="heading 7"/>
    <w:basedOn w:val="1"/>
    <w:next w:val="1"/>
    <w:link w:val="26"/>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unhideWhenUsed/>
    <w:qFormat/>
    <w:uiPriority w:val="99"/>
    <w:pPr>
      <w:jc w:val="left"/>
    </w:pPr>
  </w:style>
  <w:style w:type="paragraph" w:styleId="12">
    <w:name w:val="footer"/>
    <w:basedOn w:val="1"/>
    <w:link w:val="39"/>
    <w:unhideWhenUsed/>
    <w:qFormat/>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38"/>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30"/>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6">
    <w:name w:val="annotation subject"/>
    <w:basedOn w:val="11"/>
    <w:next w:val="11"/>
    <w:link w:val="43"/>
    <w:semiHidden/>
    <w:unhideWhenUsed/>
    <w:qFormat/>
    <w:uiPriority w:val="99"/>
    <w:rPr>
      <w:b/>
      <w:bCs/>
    </w:rPr>
  </w:style>
  <w:style w:type="character" w:styleId="19">
    <w:name w:val="annotation reference"/>
    <w:basedOn w:val="18"/>
    <w:semiHidden/>
    <w:unhideWhenUsed/>
    <w:qFormat/>
    <w:uiPriority w:val="99"/>
    <w:rPr>
      <w:sz w:val="21"/>
      <w:szCs w:val="21"/>
    </w:rPr>
  </w:style>
  <w:style w:type="character" w:customStyle="1" w:styleId="20">
    <w:name w:val="标题 1 Char"/>
    <w:basedOn w:val="18"/>
    <w:link w:val="2"/>
    <w:qFormat/>
    <w:uiPriority w:val="9"/>
    <w:rPr>
      <w:rFonts w:ascii="Times New Roman" w:hAnsi="Times New Roman" w:eastAsia="宋体" w:cs="Times New Roman"/>
      <w:b/>
      <w:sz w:val="28"/>
      <w:szCs w:val="28"/>
      <w14:ligatures w14:val="none"/>
    </w:rPr>
  </w:style>
  <w:style w:type="character" w:customStyle="1" w:styleId="21">
    <w:name w:val="标题 2 Char"/>
    <w:basedOn w:val="18"/>
    <w:link w:val="3"/>
    <w:qFormat/>
    <w:uiPriority w:val="9"/>
    <w:rPr>
      <w:rFonts w:ascii="Times New Roman" w:hAnsi="Times New Roman" w:eastAsia="宋体" w:cs="Times New Roman"/>
      <w:b/>
      <w:sz w:val="24"/>
      <w14:ligatures w14:val="none"/>
    </w:rPr>
  </w:style>
  <w:style w:type="character" w:customStyle="1" w:styleId="22">
    <w:name w:val="标题 3 Char"/>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Char"/>
    <w:basedOn w:val="18"/>
    <w:link w:val="5"/>
    <w:semiHidden/>
    <w:qFormat/>
    <w:uiPriority w:val="9"/>
    <w:rPr>
      <w:rFonts w:cstheme="majorBidi"/>
      <w:color w:val="2F5597" w:themeColor="accent1" w:themeShade="BF"/>
      <w:sz w:val="28"/>
      <w:szCs w:val="28"/>
    </w:rPr>
  </w:style>
  <w:style w:type="character" w:customStyle="1" w:styleId="24">
    <w:name w:val="标题 5 Char"/>
    <w:basedOn w:val="18"/>
    <w:link w:val="6"/>
    <w:semiHidden/>
    <w:qFormat/>
    <w:uiPriority w:val="9"/>
    <w:rPr>
      <w:rFonts w:cstheme="majorBidi"/>
      <w:color w:val="2F5597" w:themeColor="accent1" w:themeShade="BF"/>
      <w:sz w:val="24"/>
    </w:rPr>
  </w:style>
  <w:style w:type="character" w:customStyle="1" w:styleId="25">
    <w:name w:val="标题 6 Char"/>
    <w:basedOn w:val="18"/>
    <w:link w:val="7"/>
    <w:semiHidden/>
    <w:qFormat/>
    <w:uiPriority w:val="9"/>
    <w:rPr>
      <w:rFonts w:cstheme="majorBidi"/>
      <w:b/>
      <w:bCs/>
      <w:color w:val="2F5597" w:themeColor="accent1" w:themeShade="BF"/>
    </w:rPr>
  </w:style>
  <w:style w:type="character" w:customStyle="1" w:styleId="26">
    <w:name w:val="标题 7 Char"/>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Char"/>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Char"/>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Char"/>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2">
    <w:name w:val="引用 Char"/>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szCs w:val="24"/>
      <w14:ligatures w14:val="standardContextual"/>
    </w:rPr>
  </w:style>
  <w:style w:type="character" w:customStyle="1" w:styleId="36">
    <w:name w:val="明显引用 Char"/>
    <w:basedOn w:val="18"/>
    <w:link w:val="35"/>
    <w:qFormat/>
    <w:uiPriority w:val="30"/>
    <w:rPr>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页眉 Char"/>
    <w:basedOn w:val="18"/>
    <w:link w:val="13"/>
    <w:qFormat/>
    <w:uiPriority w:val="99"/>
    <w:rPr>
      <w:sz w:val="18"/>
      <w:szCs w:val="18"/>
    </w:rPr>
  </w:style>
  <w:style w:type="character" w:customStyle="1" w:styleId="39">
    <w:name w:val="页脚 Char"/>
    <w:basedOn w:val="18"/>
    <w:link w:val="12"/>
    <w:qFormat/>
    <w:uiPriority w:val="99"/>
    <w:rPr>
      <w:sz w:val="18"/>
      <w:szCs w:val="18"/>
    </w:rPr>
  </w:style>
  <w:style w:type="paragraph" w:customStyle="1" w:styleId="40">
    <w:name w:val="一级标题"/>
    <w:basedOn w:val="1"/>
    <w:qFormat/>
    <w:uiPriority w:val="0"/>
    <w:pPr>
      <w:spacing w:line="560" w:lineRule="exact"/>
      <w:jc w:val="center"/>
      <w:outlineLvl w:val="0"/>
    </w:pPr>
    <w:rPr>
      <w:rFonts w:ascii="方正大标宋简体" w:hAnsi="方正大标宋简体" w:eastAsia="方正大标宋简体" w:cs="Times New Roman"/>
      <w:sz w:val="42"/>
      <w:szCs w:val="42"/>
    </w:rPr>
  </w:style>
  <w:style w:type="paragraph" w:customStyle="1" w:styleId="41">
    <w:name w:val="Revision"/>
    <w:hidden/>
    <w:semiHidden/>
    <w:qFormat/>
    <w:uiPriority w:val="99"/>
    <w:pPr>
      <w:spacing w:after="0" w:line="240" w:lineRule="auto"/>
    </w:pPr>
    <w:rPr>
      <w:rFonts w:asciiTheme="minorHAnsi" w:hAnsiTheme="minorHAnsi" w:eastAsiaTheme="minorEastAsia" w:cstheme="minorBidi"/>
      <w:kern w:val="2"/>
      <w:sz w:val="21"/>
      <w:szCs w:val="22"/>
      <w:lang w:val="en-US" w:eastAsia="zh-CN" w:bidi="ar-SA"/>
      <w14:ligatures w14:val="none"/>
    </w:rPr>
  </w:style>
  <w:style w:type="character" w:customStyle="1" w:styleId="42">
    <w:name w:val="批注文字 Char"/>
    <w:basedOn w:val="18"/>
    <w:link w:val="11"/>
    <w:qFormat/>
    <w:uiPriority w:val="99"/>
    <w:rPr>
      <w:sz w:val="21"/>
      <w:szCs w:val="22"/>
      <w14:ligatures w14:val="none"/>
    </w:rPr>
  </w:style>
  <w:style w:type="character" w:customStyle="1" w:styleId="43">
    <w:name w:val="批注主题 Char"/>
    <w:basedOn w:val="42"/>
    <w:link w:val="16"/>
    <w:semiHidden/>
    <w:qFormat/>
    <w:uiPriority w:val="99"/>
    <w:rPr>
      <w:b/>
      <w:bCs/>
      <w:sz w:val="21"/>
      <w:szCs w:val="22"/>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70FB1D01-B66C-4FAB-93CF-A293110C8A8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1097</Words>
  <Characters>6305</Characters>
  <Lines>52</Lines>
  <Paragraphs>14</Paragraphs>
  <TotalTime>206</TotalTime>
  <ScaleCrop>false</ScaleCrop>
  <LinksUpToDate>false</LinksUpToDate>
  <CharactersWithSpaces>7362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2025-05-30T11:15:00Z</dcterms:created>
  <dc:creator>Ubica</dc:creator>
  <cp:lastModifiedBy>guan.zhaohui</cp:lastModifiedBy>
  <dcterms:modified xsi:type="dcterms:W3CDTF">2025-08-07T13:16:10Z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EF18CFF196C84B26B82AEB7A8DD91147_12</vt:lpwstr>
  </property>
</Properties>
</file>