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256" w:lineRule="auto"/>
        <w:jc w:val="center"/>
        <w:rPr>
          <w:rFonts w:ascii="Times New Roman" w:hAnsi="Times New Roman" w:eastAsia="方正大标宋简体" w:cs="Times New Roman"/>
          <w:b/>
          <w:bCs/>
          <w:sz w:val="40"/>
          <w:szCs w:val="40"/>
        </w:rPr>
      </w:pPr>
      <w:r>
        <w:rPr>
          <w:rFonts w:hint="eastAsia" w:ascii="Times New Roman" w:hAnsi="Times New Roman" w:eastAsia="方正大标宋简体" w:cs="Times New Roman"/>
          <w:b/>
          <w:bCs/>
          <w:sz w:val="40"/>
          <w:szCs w:val="40"/>
        </w:rPr>
        <w:t>Administration of Accounts Involving Actual Control Relationship Rules</w:t>
      </w:r>
      <w:r>
        <w:rPr>
          <w:rFonts w:ascii="Times New Roman" w:hAnsi="Times New Roman" w:eastAsia="方正大标宋简体" w:cs="Times New Roman"/>
          <w:b/>
          <w:bCs/>
          <w:sz w:val="40"/>
          <w:szCs w:val="40"/>
        </w:rPr>
        <w:t xml:space="preserve"> of the Shanghai International Energy Exchange</w:t>
      </w:r>
    </w:p>
    <w:p>
      <w:pPr>
        <w:widowControl/>
        <w:jc w:val="center"/>
        <w:rPr>
          <w:rFonts w:ascii="Times New Roman" w:hAnsi="Times New Roman" w:eastAsia="宋体" w:cs="Times New Roman"/>
          <w:color w:val="000000"/>
          <w:kern w:val="0"/>
          <w:sz w:val="24"/>
          <w:szCs w:val="24"/>
          <w:shd w:val="clear" w:color="auto" w:fill="FFFFFF"/>
          <w:lang w:bidi="ar"/>
        </w:rPr>
      </w:pPr>
      <w:r>
        <w:rPr>
          <w:rFonts w:ascii="Times New Roman" w:hAnsi="Times New Roman" w:eastAsia="宋体" w:cs="Times New Roman"/>
          <w:color w:val="000000"/>
          <w:kern w:val="0"/>
          <w:sz w:val="24"/>
          <w:szCs w:val="24"/>
          <w:shd w:val="clear" w:color="auto" w:fill="FFFFFF"/>
          <w:lang w:bidi="ar"/>
        </w:rPr>
        <w:t>(</w:t>
      </w:r>
      <w:r>
        <w:rPr>
          <w:rFonts w:hint="eastAsia" w:ascii="Times New Roman" w:hAnsi="Times New Roman" w:eastAsia="宋体" w:cs="Times New Roman"/>
          <w:color w:val="000000"/>
          <w:kern w:val="0"/>
          <w:sz w:val="22"/>
          <w:shd w:val="clear" w:color="auto" w:fill="FFFFFF"/>
          <w:lang w:bidi="ar"/>
        </w:rPr>
        <w:t>Released and implemented on March 20,2018, revised on November 26,2021 for the first time，</w:t>
      </w:r>
      <w:r>
        <w:rPr>
          <w:rFonts w:hint="eastAsia" w:ascii="Times New Roman" w:hAnsi="Times New Roman" w:eastAsia="宋体" w:cs="Times New Roman"/>
          <w:color w:val="000000"/>
          <w:kern w:val="0"/>
          <w:sz w:val="22"/>
          <w:shd w:val="clear" w:color="auto" w:fill="FFFFFF"/>
          <w:lang w:val="en-US" w:eastAsia="zh-CN" w:bidi="ar"/>
        </w:rPr>
        <w:t>October 20</w:t>
      </w:r>
      <w:r>
        <w:rPr>
          <w:rFonts w:hint="eastAsia" w:ascii="Times New Roman" w:hAnsi="Times New Roman" w:eastAsia="宋体" w:cs="Times New Roman"/>
          <w:color w:val="000000"/>
          <w:kern w:val="0"/>
          <w:sz w:val="22"/>
          <w:shd w:val="clear" w:color="auto" w:fill="FFFFFF"/>
          <w:lang w:bidi="ar"/>
        </w:rPr>
        <w:t>，20</w:t>
      </w:r>
      <w:r>
        <w:rPr>
          <w:rFonts w:hint="eastAsia" w:ascii="Times New Roman" w:hAnsi="Times New Roman" w:eastAsia="宋体" w:cs="Times New Roman"/>
          <w:color w:val="000000"/>
          <w:kern w:val="0"/>
          <w:sz w:val="22"/>
          <w:shd w:val="clear" w:color="auto" w:fill="FFFFFF"/>
          <w:lang w:val="en-US" w:eastAsia="zh-CN" w:bidi="ar"/>
        </w:rPr>
        <w:t>26</w:t>
      </w:r>
      <w:r>
        <w:rPr>
          <w:rFonts w:hint="eastAsia" w:ascii="Times New Roman" w:hAnsi="Times New Roman" w:eastAsia="宋体" w:cs="Times New Roman"/>
          <w:color w:val="000000"/>
          <w:kern w:val="0"/>
          <w:sz w:val="22"/>
          <w:shd w:val="clear" w:color="auto" w:fill="FFFFFF"/>
          <w:lang w:bidi="ar"/>
        </w:rPr>
        <w:t xml:space="preserve"> for the second time</w:t>
      </w:r>
      <w:r>
        <w:rPr>
          <w:rFonts w:ascii="Times New Roman" w:hAnsi="Times New Roman" w:eastAsia="宋体" w:cs="Times New Roman"/>
          <w:color w:val="000000"/>
          <w:kern w:val="0"/>
          <w:sz w:val="24"/>
          <w:szCs w:val="24"/>
          <w:shd w:val="clear" w:color="auto" w:fill="FFFFFF"/>
          <w:lang w:bidi="ar"/>
        </w:rPr>
        <w:t>)</w:t>
      </w:r>
    </w:p>
    <w:p>
      <w:pPr>
        <w:widowControl/>
        <w:jc w:val="both"/>
        <w:rPr>
          <w:rFonts w:ascii="Times New Roman" w:hAnsi="Times New Roman" w:eastAsia="宋体" w:cs="Times New Roman"/>
          <w:color w:val="000000"/>
          <w:kern w:val="0"/>
          <w:sz w:val="24"/>
          <w:szCs w:val="24"/>
          <w:shd w:val="clear" w:color="auto" w:fill="FFFFFF"/>
          <w:lang w:bidi="ar"/>
        </w:rPr>
      </w:pPr>
    </w:p>
    <w:p>
      <w:pPr>
        <w:keepNext w:val="0"/>
        <w:keepLines w:val="0"/>
        <w:pageBreakBefore w:val="0"/>
        <w:widowControl w:val="0"/>
        <w:kinsoku/>
        <w:wordWrap/>
        <w:overflowPunct/>
        <w:topLinePunct w:val="0"/>
        <w:autoSpaceDE/>
        <w:autoSpaceDN/>
        <w:bidi w:val="0"/>
        <w:adjustRightInd/>
        <w:snapToGrid w:val="0"/>
        <w:spacing w:after="181" w:afterLines="50" w:line="360" w:lineRule="exact"/>
        <w:jc w:val="center"/>
        <w:textAlignment w:val="auto"/>
        <w:rPr>
          <w:rFonts w:ascii="Times New Roman" w:hAnsi="Times New Roman"/>
          <w:b/>
          <w:bCs/>
          <w:kern w:val="0"/>
          <w:sz w:val="22"/>
        </w:rPr>
      </w:pPr>
      <w:bookmarkStart w:id="0" w:name="_Toc501635897"/>
      <w:r>
        <w:rPr>
          <w:rFonts w:ascii="Times New Roman" w:hAnsi="Times New Roman"/>
          <w:b/>
          <w:bCs/>
          <w:kern w:val="0"/>
          <w:sz w:val="22"/>
        </w:rPr>
        <w:t>Chapter 1</w:t>
      </w:r>
      <w:r>
        <w:rPr>
          <w:rFonts w:ascii="Times New Roman" w:hAnsi="Times New Roman"/>
          <w:b/>
          <w:bCs/>
          <w:kern w:val="0"/>
          <w:sz w:val="22"/>
        </w:rPr>
        <w:tab/>
      </w:r>
      <w:r>
        <w:rPr>
          <w:rFonts w:ascii="Times New Roman" w:hAnsi="Times New Roman"/>
          <w:b/>
          <w:bCs/>
          <w:kern w:val="0"/>
          <w:sz w:val="22"/>
        </w:rPr>
        <w:t>General Provisions</w:t>
      </w:r>
      <w:bookmarkEnd w:id="0"/>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1</w:t>
      </w:r>
      <w:r>
        <w:rPr>
          <w:rFonts w:ascii="Times New Roman" w:hAnsi="Times New Roman" w:eastAsia="等线"/>
          <w:kern w:val="0"/>
          <w:sz w:val="22"/>
        </w:rPr>
        <w:tab/>
      </w:r>
      <w:r>
        <w:rPr>
          <w:rFonts w:ascii="Times New Roman" w:hAnsi="Times New Roman" w:eastAsia="等线"/>
          <w:kern w:val="0"/>
          <w:sz w:val="22"/>
        </w:rPr>
        <w:t xml:space="preserve">These </w:t>
      </w:r>
      <w:r>
        <w:rPr>
          <w:rFonts w:ascii="Times New Roman" w:hAnsi="Times New Roman" w:eastAsia="等线"/>
          <w:i/>
          <w:kern w:val="0"/>
          <w:sz w:val="22"/>
        </w:rPr>
        <w:t xml:space="preserve">Rules of the Shanghai International Energy Exchange for the Administration of </w:t>
      </w:r>
      <w:bookmarkStart w:id="1" w:name="OLE_LINK4"/>
      <w:bookmarkStart w:id="2" w:name="OLE_LINK3"/>
      <w:r>
        <w:rPr>
          <w:rFonts w:ascii="Times New Roman" w:hAnsi="Times New Roman" w:eastAsia="等线"/>
          <w:i/>
          <w:kern w:val="0"/>
          <w:sz w:val="22"/>
        </w:rPr>
        <w:t>Accounts Involving Actual Control Relationship</w:t>
      </w:r>
      <w:bookmarkEnd w:id="1"/>
      <w:bookmarkEnd w:id="2"/>
      <w:r>
        <w:rPr>
          <w:rFonts w:ascii="Times New Roman" w:hAnsi="Times New Roman" w:eastAsia="等线"/>
          <w:i/>
          <w:kern w:val="0"/>
          <w:sz w:val="22"/>
        </w:rPr>
        <w:t xml:space="preserve"> </w:t>
      </w:r>
      <w:r>
        <w:rPr>
          <w:rFonts w:ascii="Times New Roman" w:hAnsi="Times New Roman" w:eastAsia="等线"/>
          <w:kern w:val="0"/>
          <w:sz w:val="22"/>
        </w:rPr>
        <w:t>(hereinafter referred to as the “</w:t>
      </w:r>
      <w:r>
        <w:rPr>
          <w:rFonts w:ascii="Times New Roman" w:hAnsi="Times New Roman" w:eastAsia="等线"/>
          <w:i/>
          <w:kern w:val="0"/>
          <w:sz w:val="22"/>
        </w:rPr>
        <w:t>Rules</w:t>
      </w:r>
      <w:r>
        <w:rPr>
          <w:rFonts w:ascii="Times New Roman" w:hAnsi="Times New Roman" w:eastAsia="等线"/>
          <w:kern w:val="0"/>
          <w:sz w:val="22"/>
        </w:rPr>
        <w:t xml:space="preserve">”) are formulated to facilitate the effective administration of accounts involving actual control relationship, safeguard the orderliness of the futures market, and promote its sound development, in accordance with </w:t>
      </w:r>
      <w:bookmarkStart w:id="3" w:name="OLE_LINK29"/>
      <w:r>
        <w:rPr>
          <w:rFonts w:ascii="Times New Roman" w:hAnsi="Times New Roman" w:eastAsia="等线"/>
          <w:kern w:val="0"/>
          <w:sz w:val="22"/>
        </w:rPr>
        <w:t>the</w:t>
      </w:r>
      <w:bookmarkEnd w:id="3"/>
      <w:r>
        <w:rPr>
          <w:rFonts w:ascii="Times New Roman" w:hAnsi="Times New Roman" w:eastAsia="等线"/>
          <w:kern w:val="0"/>
          <w:sz w:val="22"/>
        </w:rPr>
        <w:t xml:space="preserve"> </w:t>
      </w:r>
      <w:r>
        <w:rPr>
          <w:rFonts w:ascii="Times New Roman" w:hAnsi="Times New Roman" w:eastAsia="等线"/>
          <w:i/>
          <w:kern w:val="0"/>
          <w:sz w:val="22"/>
        </w:rPr>
        <w:t>General Exchange Rules of the Shanghai International Energy Exchange</w:t>
      </w:r>
      <w:r>
        <w:rPr>
          <w:rFonts w:ascii="Times New Roman" w:hAnsi="Times New Roman" w:eastAsia="等线"/>
          <w:kern w:val="0"/>
          <w:sz w:val="22"/>
        </w:rPr>
        <w:t>, the</w:t>
      </w:r>
      <w:r>
        <w:rPr>
          <w:rFonts w:ascii="Times New Roman" w:hAnsi="Times New Roman" w:eastAsia="等线"/>
          <w:i/>
          <w:kern w:val="0"/>
          <w:sz w:val="22"/>
        </w:rPr>
        <w:t xml:space="preserve"> Risk Management Rules of the Shanghai International Energy Exchange</w:t>
      </w:r>
      <w:r>
        <w:rPr>
          <w:rFonts w:ascii="Times New Roman" w:hAnsi="Times New Roman" w:eastAsia="等线"/>
          <w:kern w:val="0"/>
          <w:sz w:val="22"/>
        </w:rPr>
        <w:t xml:space="preserve"> (hereinafter referred to as the “</w:t>
      </w:r>
      <w:r>
        <w:rPr>
          <w:rFonts w:ascii="Times New Roman" w:hAnsi="Times New Roman" w:eastAsia="等线"/>
          <w:i/>
          <w:kern w:val="0"/>
          <w:sz w:val="22"/>
        </w:rPr>
        <w:t>Risk Management Rules</w:t>
      </w:r>
      <w:r>
        <w:rPr>
          <w:rFonts w:ascii="Times New Roman" w:hAnsi="Times New Roman" w:eastAsia="等线"/>
          <w:kern w:val="0"/>
          <w:sz w:val="22"/>
        </w:rPr>
        <w:t>”), the</w:t>
      </w:r>
      <w:r>
        <w:rPr>
          <w:rFonts w:ascii="Times New Roman" w:hAnsi="Times New Roman" w:eastAsia="等线"/>
          <w:i/>
          <w:kern w:val="0"/>
          <w:sz w:val="22"/>
        </w:rPr>
        <w:t xml:space="preserve"> Enforcement Rules of the Shanghai International Energy Exchange </w:t>
      </w:r>
      <w:r>
        <w:rPr>
          <w:rFonts w:ascii="Times New Roman" w:hAnsi="Times New Roman" w:eastAsia="等线"/>
          <w:kern w:val="0"/>
          <w:sz w:val="22"/>
        </w:rPr>
        <w:t>(hereinafter referred to as the “</w:t>
      </w:r>
      <w:r>
        <w:rPr>
          <w:rFonts w:ascii="Times New Roman" w:hAnsi="Times New Roman" w:eastAsia="等线"/>
          <w:i/>
          <w:kern w:val="0"/>
          <w:sz w:val="22"/>
        </w:rPr>
        <w:t>Enforcement Rules</w:t>
      </w:r>
      <w:r>
        <w:rPr>
          <w:rFonts w:ascii="Times New Roman" w:hAnsi="Times New Roman" w:eastAsia="等线"/>
          <w:kern w:val="0"/>
          <w:sz w:val="22"/>
        </w:rPr>
        <w:t>”) and other relevant rules.</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2</w:t>
      </w:r>
      <w:r>
        <w:rPr>
          <w:rFonts w:ascii="Times New Roman" w:hAnsi="Times New Roman" w:eastAsia="等线"/>
          <w:b/>
          <w:kern w:val="0"/>
          <w:sz w:val="22"/>
        </w:rPr>
        <w:tab/>
      </w:r>
      <w:r>
        <w:rPr>
          <w:rFonts w:ascii="Times New Roman" w:hAnsi="Times New Roman" w:eastAsia="等线"/>
          <w:kern w:val="0"/>
          <w:sz w:val="22"/>
        </w:rPr>
        <w:t>Futures Firm Members (hereinafter referred to as “FF Members”), Overseas Special Brokerage Participants (hereinafter referred to as “OSBPs”), and Overseas Intermediaries (collectively, “Account Opening Institutions”)</w:t>
      </w:r>
      <w:r>
        <w:rPr>
          <w:rFonts w:hint="eastAsia" w:ascii="Times New Roman" w:hAnsi="Times New Roman" w:eastAsia="等线"/>
          <w:kern w:val="0"/>
          <w:sz w:val="22"/>
        </w:rPr>
        <w:t xml:space="preserve"> </w:t>
      </w:r>
      <w:r>
        <w:rPr>
          <w:rFonts w:ascii="Times New Roman" w:hAnsi="Times New Roman" w:eastAsia="等线"/>
          <w:kern w:val="0"/>
          <w:sz w:val="22"/>
        </w:rPr>
        <w:t>shall inform their Clients of the obligation to file their accounts involving actual control relationship, duly supervise such accounts, archive and securely store materials relating to account filing and administration, and keep the information filed by the Clients confidential.</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3</w:t>
      </w:r>
      <w:r>
        <w:rPr>
          <w:rFonts w:ascii="Times New Roman" w:hAnsi="Times New Roman" w:eastAsia="等线"/>
          <w:kern w:val="0"/>
          <w:sz w:val="22"/>
        </w:rPr>
        <w:tab/>
      </w:r>
      <w:r>
        <w:rPr>
          <w:rFonts w:ascii="Times New Roman" w:hAnsi="Times New Roman" w:eastAsia="等线"/>
          <w:kern w:val="0"/>
          <w:sz w:val="22"/>
        </w:rPr>
        <w:t xml:space="preserve">When engaging in futures trading, </w:t>
      </w:r>
      <w:bookmarkStart w:id="4" w:name="_Hlk489866024"/>
      <w:r>
        <w:rPr>
          <w:rFonts w:ascii="Times New Roman" w:hAnsi="Times New Roman" w:eastAsia="等线"/>
          <w:kern w:val="0"/>
          <w:sz w:val="22"/>
        </w:rPr>
        <w:t>Non-Futures Firm Members (hereinafter referred to as “Non-FF Members”), Overseas Special Non-Brokerage Participants (hereinafter referred to as “OSNBPs”)</w:t>
      </w:r>
      <w:bookmarkEnd w:id="4"/>
      <w:r>
        <w:rPr>
          <w:rFonts w:ascii="Times New Roman" w:hAnsi="Times New Roman" w:eastAsia="等线"/>
          <w:kern w:val="0"/>
          <w:sz w:val="22"/>
        </w:rPr>
        <w:t xml:space="preserve">, and Clients shall comply with the laws, regulations, and administrative rules of the People’s Republic of China and the business rules of the Shanghai International Energy Exchange (hereinafter referred to as “the Exchange”) and accept the administration of the Exchange regarding accounts involving actual control relationship. Clients shall additionally accept the administration of </w:t>
      </w:r>
      <w:r>
        <w:rPr>
          <w:rFonts w:hint="eastAsia" w:ascii="Times New Roman" w:hAnsi="Times New Roman" w:eastAsia="等线"/>
          <w:kern w:val="0"/>
          <w:sz w:val="22"/>
        </w:rPr>
        <w:t>A</w:t>
      </w:r>
      <w:r>
        <w:rPr>
          <w:rFonts w:ascii="Times New Roman" w:hAnsi="Times New Roman" w:eastAsia="等线"/>
          <w:kern w:val="0"/>
          <w:sz w:val="22"/>
        </w:rPr>
        <w:t xml:space="preserve">ccount </w:t>
      </w:r>
      <w:r>
        <w:rPr>
          <w:rFonts w:hint="eastAsia" w:ascii="Times New Roman" w:hAnsi="Times New Roman" w:eastAsia="等线"/>
          <w:kern w:val="0"/>
          <w:sz w:val="22"/>
        </w:rPr>
        <w:t>O</w:t>
      </w:r>
      <w:r>
        <w:rPr>
          <w:rFonts w:ascii="Times New Roman" w:hAnsi="Times New Roman" w:eastAsia="等线"/>
          <w:kern w:val="0"/>
          <w:sz w:val="22"/>
        </w:rPr>
        <w:t xml:space="preserve">pening </w:t>
      </w:r>
      <w:r>
        <w:rPr>
          <w:rFonts w:hint="eastAsia" w:ascii="Times New Roman" w:hAnsi="Times New Roman" w:eastAsia="等线"/>
          <w:kern w:val="0"/>
          <w:sz w:val="22"/>
        </w:rPr>
        <w:t>I</w:t>
      </w:r>
      <w:r>
        <w:rPr>
          <w:rFonts w:ascii="Times New Roman" w:hAnsi="Times New Roman" w:eastAsia="等线"/>
          <w:kern w:val="0"/>
          <w:sz w:val="22"/>
        </w:rPr>
        <w:t>nstitutions , regarding such accounts.</w:t>
      </w:r>
    </w:p>
    <w:p>
      <w:pPr>
        <w:keepNext w:val="0"/>
        <w:keepLines w:val="0"/>
        <w:pageBreakBefore w:val="0"/>
        <w:widowControl w:val="0"/>
        <w:kinsoku/>
        <w:wordWrap/>
        <w:overflowPunct/>
        <w:topLinePunct w:val="0"/>
        <w:autoSpaceDE/>
        <w:autoSpaceDN/>
        <w:bidi w:val="0"/>
        <w:adjustRightInd/>
        <w:snapToGrid w:val="0"/>
        <w:spacing w:after="181" w:afterLines="50" w:line="360" w:lineRule="exact"/>
        <w:jc w:val="center"/>
        <w:textAlignment w:val="auto"/>
        <w:rPr>
          <w:rFonts w:ascii="Times New Roman" w:hAnsi="Times New Roman"/>
          <w:b/>
          <w:bCs/>
          <w:kern w:val="0"/>
          <w:sz w:val="22"/>
        </w:rPr>
      </w:pPr>
      <w:bookmarkStart w:id="5" w:name="_Toc501635898"/>
      <w:r>
        <w:rPr>
          <w:rFonts w:ascii="Times New Roman" w:hAnsi="Times New Roman"/>
          <w:b/>
          <w:bCs/>
          <w:kern w:val="0"/>
          <w:sz w:val="22"/>
        </w:rPr>
        <w:t>Chapter 2</w:t>
      </w:r>
      <w:r>
        <w:rPr>
          <w:rFonts w:ascii="Times New Roman" w:hAnsi="Times New Roman"/>
          <w:b/>
          <w:bCs/>
          <w:kern w:val="0"/>
          <w:sz w:val="22"/>
        </w:rPr>
        <w:tab/>
      </w:r>
      <w:r>
        <w:rPr>
          <w:rFonts w:ascii="Times New Roman" w:hAnsi="Times New Roman"/>
          <w:b/>
          <w:bCs/>
          <w:kern w:val="0"/>
          <w:sz w:val="22"/>
        </w:rPr>
        <w:t>Account Identification</w:t>
      </w:r>
      <w:bookmarkEnd w:id="5"/>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4</w:t>
      </w:r>
      <w:r>
        <w:rPr>
          <w:rFonts w:ascii="Times New Roman" w:hAnsi="Times New Roman" w:eastAsia="等线"/>
          <w:kern w:val="0"/>
          <w:sz w:val="22"/>
        </w:rPr>
        <w:tab/>
      </w:r>
      <w:r>
        <w:rPr>
          <w:rFonts w:ascii="Times New Roman" w:hAnsi="Times New Roman" w:eastAsia="等线"/>
          <w:kern w:val="0"/>
          <w:sz w:val="22"/>
        </w:rPr>
        <w:t xml:space="preserve">“Actual control” refers to the action or ability of any person (whether an individual or </w:t>
      </w:r>
      <w:bookmarkStart w:id="6" w:name="OLE_LINK30"/>
      <w:r>
        <w:rPr>
          <w:rFonts w:ascii="Times New Roman" w:hAnsi="Times New Roman" w:eastAsia="等线"/>
          <w:kern w:val="0"/>
          <w:sz w:val="22"/>
        </w:rPr>
        <w:t>institution</w:t>
      </w:r>
      <w:bookmarkEnd w:id="6"/>
      <w:r>
        <w:rPr>
          <w:rFonts w:ascii="Times New Roman" w:hAnsi="Times New Roman" w:eastAsia="等线"/>
          <w:kern w:val="0"/>
          <w:sz w:val="22"/>
        </w:rPr>
        <w:t>) to control or to significantly influence the trading decisions of another person (whether an individual or institution) by virtue of its powers including the power to manage, use, receive incomes from, or dispose of the futures account of the latter person.</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5</w:t>
      </w:r>
      <w:r>
        <w:rPr>
          <w:rFonts w:ascii="Times New Roman" w:hAnsi="Times New Roman" w:eastAsia="等线"/>
          <w:kern w:val="0"/>
          <w:sz w:val="22"/>
        </w:rPr>
        <w:tab/>
      </w:r>
      <w:r>
        <w:rPr>
          <w:rFonts w:ascii="Times New Roman" w:hAnsi="Times New Roman" w:eastAsia="等线"/>
          <w:kern w:val="0"/>
          <w:sz w:val="22"/>
        </w:rPr>
        <w:t>By the principle of “substance over form”, a person is deemed to have actual control over the futures account of another person during futures trading if the first person:</w:t>
      </w:r>
    </w:p>
    <w:p>
      <w:pPr>
        <w:keepNext w:val="0"/>
        <w:keepLines w:val="0"/>
        <w:pageBreakBefore w:val="0"/>
        <w:widowControl w:val="0"/>
        <w:numPr>
          <w:ilvl w:val="0"/>
          <w:numId w:val="1"/>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ascii="Times New Roman" w:hAnsi="Times New Roman" w:eastAsia="等线"/>
          <w:kern w:val="0"/>
          <w:sz w:val="22"/>
        </w:rPr>
        <w:t>is the controlling shareholder of the latter person, defined as any person whose contribution represents 50% or more of the total contribution in the latter person, or any shareholder who holds 50% or more of the total shares of the latter person, or any shareholder who, despite having a contribution or shareholding at less than 50%, can nevertheless exercise the voting rights granted by its contribution or shareholding to significantly influence the decisions of the shareholders’ meeting or the shareholders’ general meeting of the latter person;</w:t>
      </w:r>
    </w:p>
    <w:p>
      <w:pPr>
        <w:keepNext w:val="0"/>
        <w:keepLines w:val="0"/>
        <w:pageBreakBefore w:val="0"/>
        <w:widowControl w:val="0"/>
        <w:numPr>
          <w:ilvl w:val="0"/>
          <w:numId w:val="1"/>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ascii="Times New Roman" w:hAnsi="Times New Roman" w:eastAsia="等线"/>
          <w:kern w:val="0"/>
          <w:sz w:val="22"/>
        </w:rPr>
        <w:t>is the authorized person for account opening, authorized trader, authorized person for fund transfer, settlement statement verifier, or any other type of authorization engaged by the latter person;</w:t>
      </w:r>
    </w:p>
    <w:p>
      <w:pPr>
        <w:keepNext w:val="0"/>
        <w:keepLines w:val="0"/>
        <w:pageBreakBefore w:val="0"/>
        <w:widowControl w:val="0"/>
        <w:numPr>
          <w:ilvl w:val="0"/>
          <w:numId w:val="1"/>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ascii="Times New Roman" w:hAnsi="Times New Roman" w:eastAsia="等线"/>
          <w:kern w:val="0"/>
          <w:sz w:val="22"/>
        </w:rPr>
        <w:t>is the legal representative, principal partner, director, supervisor, senior manager, etc. of the latter person, or shares the same legal representative, principal partner, director, supervisor, or senior manager, etc. with the latter person;</w:t>
      </w:r>
    </w:p>
    <w:p>
      <w:pPr>
        <w:keepNext w:val="0"/>
        <w:keepLines w:val="0"/>
        <w:pageBreakBefore w:val="0"/>
        <w:widowControl w:val="0"/>
        <w:numPr>
          <w:ilvl w:val="0"/>
          <w:numId w:val="1"/>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ascii="Times New Roman" w:hAnsi="Times New Roman" w:eastAsia="等线"/>
          <w:kern w:val="0"/>
          <w:sz w:val="22"/>
        </w:rPr>
        <w:t>is the spouse of the latter person;</w:t>
      </w:r>
    </w:p>
    <w:p>
      <w:pPr>
        <w:keepNext w:val="0"/>
        <w:keepLines w:val="0"/>
        <w:pageBreakBefore w:val="0"/>
        <w:widowControl w:val="0"/>
        <w:numPr>
          <w:ilvl w:val="0"/>
          <w:numId w:val="1"/>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ascii="Times New Roman" w:hAnsi="Times New Roman" w:eastAsia="等线"/>
          <w:kern w:val="0"/>
          <w:sz w:val="22"/>
        </w:rPr>
        <w:t>is a parent, child, or sibling of the latter person and has the decision-making power or a significant influence over the day-to-day trades made through the futures account of the latter person;</w:t>
      </w:r>
    </w:p>
    <w:p>
      <w:pPr>
        <w:keepNext w:val="0"/>
        <w:keepLines w:val="0"/>
        <w:pageBreakBefore w:val="0"/>
        <w:widowControl w:val="0"/>
        <w:numPr>
          <w:ilvl w:val="0"/>
          <w:numId w:val="1"/>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ascii="Times New Roman" w:hAnsi="Times New Roman" w:eastAsia="等线"/>
          <w:kern w:val="0"/>
          <w:sz w:val="22"/>
        </w:rPr>
        <w:t>has the decision-making power or a significant influence over the day-to-day trades made through the futures account of the latter person by virtue of investment, contractual or financing arrangement, or other arrangements;</w:t>
      </w:r>
    </w:p>
    <w:p>
      <w:pPr>
        <w:keepNext w:val="0"/>
        <w:keepLines w:val="0"/>
        <w:pageBreakBefore w:val="0"/>
        <w:widowControl w:val="0"/>
        <w:numPr>
          <w:ilvl w:val="0"/>
          <w:numId w:val="1"/>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hint="eastAsia" w:ascii="Times New Roman" w:hAnsi="Times New Roman"/>
          <w:sz w:val="22"/>
        </w:rPr>
        <w:t xml:space="preserve">has identical trading behaviors </w:t>
      </w:r>
      <w:r>
        <w:rPr>
          <w:rFonts w:ascii="Times New Roman" w:hAnsi="Times New Roman"/>
          <w:sz w:val="22"/>
        </w:rPr>
        <w:t>with the latter person</w:t>
      </w:r>
      <w:r>
        <w:rPr>
          <w:rFonts w:hint="eastAsia" w:ascii="Times New Roman" w:hAnsi="Times New Roman"/>
          <w:sz w:val="22"/>
        </w:rPr>
        <w:t xml:space="preserve"> </w:t>
      </w:r>
      <w:r>
        <w:rPr>
          <w:rFonts w:ascii="Times New Roman" w:hAnsi="Times New Roman"/>
          <w:sz w:val="22"/>
        </w:rPr>
        <w:t xml:space="preserve">and either person provides futures trading funds to the other person, or </w:t>
      </w:r>
      <w:r>
        <w:rPr>
          <w:rFonts w:hint="eastAsia" w:ascii="Times New Roman" w:hAnsi="Times New Roman"/>
          <w:sz w:val="22"/>
        </w:rPr>
        <w:t xml:space="preserve">the first person has identical trading behaviors and </w:t>
      </w:r>
      <w:r>
        <w:rPr>
          <w:rFonts w:ascii="Times New Roman" w:hAnsi="Times New Roman"/>
          <w:sz w:val="22"/>
        </w:rPr>
        <w:t xml:space="preserve">trading terminal information </w:t>
      </w:r>
      <w:r>
        <w:rPr>
          <w:rFonts w:hint="eastAsia" w:ascii="Times New Roman" w:hAnsi="Times New Roman"/>
          <w:sz w:val="22"/>
        </w:rPr>
        <w:t xml:space="preserve">with </w:t>
      </w:r>
      <w:r>
        <w:rPr>
          <w:rFonts w:ascii="Times New Roman" w:hAnsi="Times New Roman"/>
          <w:sz w:val="22"/>
        </w:rPr>
        <w:t>the latter person;</w:t>
      </w:r>
    </w:p>
    <w:p>
      <w:pPr>
        <w:keepNext w:val="0"/>
        <w:keepLines w:val="0"/>
        <w:pageBreakBefore w:val="0"/>
        <w:widowControl w:val="0"/>
        <w:numPr>
          <w:ilvl w:val="0"/>
          <w:numId w:val="1"/>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ascii="Times New Roman" w:hAnsi="Times New Roman" w:eastAsia="等线"/>
          <w:kern w:val="0"/>
          <w:sz w:val="22"/>
        </w:rPr>
        <w:t>has the decision-making power or a significant influence over the day-to-day trades made through two or more futures accounts of the latter person; or</w:t>
      </w:r>
    </w:p>
    <w:p>
      <w:pPr>
        <w:keepNext w:val="0"/>
        <w:keepLines w:val="0"/>
        <w:pageBreakBefore w:val="0"/>
        <w:widowControl w:val="0"/>
        <w:numPr>
          <w:ilvl w:val="0"/>
          <w:numId w:val="1"/>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ascii="Times New Roman" w:hAnsi="Times New Roman" w:eastAsia="等线"/>
          <w:kern w:val="0"/>
          <w:sz w:val="22"/>
        </w:rPr>
        <w:t>is under any other circumstances prescribed by the China Securities Regulatory Commission or identified by the Exchange.</w:t>
      </w:r>
    </w:p>
    <w:p>
      <w:pPr>
        <w:keepNext w:val="0"/>
        <w:keepLines w:val="0"/>
        <w:pageBreakBefore w:val="0"/>
        <w:widowControl w:val="0"/>
        <w:kinsoku/>
        <w:wordWrap/>
        <w:overflowPunct/>
        <w:topLinePunct w:val="0"/>
        <w:autoSpaceDE/>
        <w:autoSpaceDN/>
        <w:bidi w:val="0"/>
        <w:adjustRightInd/>
        <w:snapToGrid w:val="0"/>
        <w:spacing w:after="181" w:afterLines="50" w:line="360" w:lineRule="exact"/>
        <w:jc w:val="center"/>
        <w:textAlignment w:val="auto"/>
        <w:rPr>
          <w:rFonts w:ascii="Times New Roman" w:hAnsi="Times New Roman"/>
          <w:b/>
          <w:bCs/>
          <w:kern w:val="0"/>
          <w:sz w:val="22"/>
        </w:rPr>
      </w:pPr>
      <w:bookmarkStart w:id="7" w:name="_Toc501635899"/>
      <w:r>
        <w:rPr>
          <w:rFonts w:ascii="Times New Roman" w:hAnsi="Times New Roman"/>
          <w:b/>
          <w:bCs/>
          <w:kern w:val="0"/>
          <w:sz w:val="22"/>
        </w:rPr>
        <w:t>Chapter 3</w:t>
      </w:r>
      <w:r>
        <w:rPr>
          <w:rFonts w:ascii="Times New Roman" w:hAnsi="Times New Roman"/>
          <w:b/>
          <w:bCs/>
          <w:kern w:val="0"/>
          <w:sz w:val="22"/>
        </w:rPr>
        <w:tab/>
      </w:r>
      <w:r>
        <w:rPr>
          <w:rFonts w:ascii="Times New Roman" w:hAnsi="Times New Roman"/>
          <w:b/>
          <w:bCs/>
          <w:kern w:val="0"/>
          <w:sz w:val="22"/>
        </w:rPr>
        <w:t>Account Filing</w:t>
      </w:r>
      <w:bookmarkEnd w:id="7"/>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6</w:t>
      </w:r>
      <w:r>
        <w:rPr>
          <w:rFonts w:ascii="Times New Roman" w:hAnsi="Times New Roman" w:eastAsia="等线"/>
          <w:b/>
          <w:kern w:val="0"/>
          <w:sz w:val="22"/>
        </w:rPr>
        <w:tab/>
      </w:r>
      <w:r>
        <w:rPr>
          <w:rFonts w:ascii="Times New Roman" w:hAnsi="Times New Roman" w:eastAsia="等线"/>
          <w:kern w:val="0"/>
          <w:sz w:val="22"/>
        </w:rPr>
        <w:t xml:space="preserve">China Futures Market Monitoring Center Co., Ltd. (hereinafter referred to as “CFMMC”) is responsible for handling the filing of information relating to </w:t>
      </w:r>
      <w:bookmarkStart w:id="8" w:name="OLE_LINK7"/>
      <w:r>
        <w:rPr>
          <w:rFonts w:ascii="Times New Roman" w:hAnsi="Times New Roman" w:eastAsia="等线"/>
          <w:kern w:val="0"/>
          <w:sz w:val="22"/>
        </w:rPr>
        <w:t>accounts involving actual control relationship</w:t>
      </w:r>
      <w:bookmarkEnd w:id="8"/>
      <w:r>
        <w:rPr>
          <w:rFonts w:ascii="Times New Roman" w:hAnsi="Times New Roman" w:eastAsia="等线"/>
          <w:kern w:val="0"/>
          <w:sz w:val="22"/>
        </w:rPr>
        <w:t>. Any person holding such an account, whether such person is controlling or being controlled, shall voluntarily file relevant information with CFMMC through its carrying Account Opening Institution..</w:t>
      </w:r>
    </w:p>
    <w:p>
      <w:pPr>
        <w:keepNext w:val="0"/>
        <w:keepLines w:val="0"/>
        <w:pageBreakBefore w:val="0"/>
        <w:widowControl w:val="0"/>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kern w:val="0"/>
          <w:sz w:val="22"/>
        </w:rPr>
        <w:t>Non-FF Members and OSNBPs shall make filings directly with the Exchange, who shall then forward relevant information to CFMMC. Non-FF Members and OSNBPs shall comply with the applicable rules of CFMMC when filing their accounts and providing relevant materials.</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7</w:t>
      </w:r>
      <w:r>
        <w:rPr>
          <w:rFonts w:ascii="Times New Roman" w:hAnsi="Times New Roman" w:eastAsia="等线"/>
          <w:b/>
          <w:kern w:val="0"/>
          <w:sz w:val="22"/>
        </w:rPr>
        <w:tab/>
      </w:r>
      <w:r>
        <w:rPr>
          <w:rFonts w:ascii="Times New Roman" w:hAnsi="Times New Roman" w:eastAsia="等线"/>
          <w:kern w:val="0"/>
          <w:sz w:val="22"/>
        </w:rPr>
        <w:t>The Exchange and CFMMC shall establish an information sharing mechanism with respect to accounts involving actual control relationship and use account information in accordance with applicable rules.</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8</w:t>
      </w:r>
      <w:r>
        <w:rPr>
          <w:rFonts w:ascii="Times New Roman" w:hAnsi="Times New Roman" w:eastAsia="等线"/>
          <w:kern w:val="0"/>
          <w:sz w:val="22"/>
        </w:rPr>
        <w:tab/>
      </w:r>
      <w:r>
        <w:rPr>
          <w:rFonts w:ascii="Times New Roman" w:hAnsi="Times New Roman" w:eastAsia="等线"/>
          <w:kern w:val="0"/>
          <w:sz w:val="22"/>
        </w:rPr>
        <w:t>Clients holding any account involving actual control relationship as defined by the identification criteria shall complete account filing within ten (10) trading days after receiving its unique CFMMC account code.</w:t>
      </w:r>
    </w:p>
    <w:p>
      <w:pPr>
        <w:keepNext w:val="0"/>
        <w:keepLines w:val="0"/>
        <w:pageBreakBefore w:val="0"/>
        <w:widowControl w:val="0"/>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kern w:val="0"/>
          <w:sz w:val="22"/>
        </w:rPr>
        <w:t>Non-FF Members and OSNBPs with any account involving actual control relationship as recognized under the identification criteria shall complete account filing within ten (10) trading days after becoming Members or OSNBPs of the Exchange.</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9</w:t>
      </w:r>
      <w:r>
        <w:rPr>
          <w:rFonts w:ascii="Times New Roman" w:hAnsi="Times New Roman" w:eastAsia="等线"/>
          <w:kern w:val="0"/>
          <w:sz w:val="22"/>
        </w:rPr>
        <w:tab/>
      </w:r>
      <w:r>
        <w:rPr>
          <w:rFonts w:ascii="Times New Roman" w:hAnsi="Times New Roman" w:eastAsia="等线"/>
          <w:kern w:val="0"/>
          <w:sz w:val="22"/>
        </w:rPr>
        <w:t xml:space="preserve">Any Non-FF Member, or OSNBP </w:t>
      </w:r>
      <w:r>
        <w:rPr>
          <w:rFonts w:ascii="Times New Roman" w:hAnsi="Times New Roman"/>
          <w:kern w:val="0"/>
          <w:sz w:val="22"/>
        </w:rPr>
        <w:t>or Client</w:t>
      </w:r>
      <w:r>
        <w:rPr>
          <w:rFonts w:ascii="Times New Roman" w:hAnsi="Times New Roman" w:eastAsia="等线"/>
          <w:kern w:val="0"/>
          <w:sz w:val="22"/>
        </w:rPr>
        <w:t xml:space="preserve"> who is involved in a change of actual control relationship shall voluntarily file for such change with CFMMC within ten (10) trading days through the corresponding filing entity.</w:t>
      </w:r>
    </w:p>
    <w:p>
      <w:pPr>
        <w:keepNext w:val="0"/>
        <w:keepLines w:val="0"/>
        <w:pageBreakBefore w:val="0"/>
        <w:widowControl w:val="0"/>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kern w:val="0"/>
          <w:sz w:val="22"/>
        </w:rPr>
        <w:t>Any Non-FF Member, or OSNBP</w:t>
      </w:r>
      <w:r>
        <w:rPr>
          <w:rFonts w:ascii="Times New Roman" w:hAnsi="Times New Roman"/>
          <w:kern w:val="0"/>
          <w:sz w:val="22"/>
        </w:rPr>
        <w:t xml:space="preserve"> or Client</w:t>
      </w:r>
      <w:r>
        <w:rPr>
          <w:rFonts w:ascii="Times New Roman" w:hAnsi="Times New Roman" w:eastAsia="等线"/>
          <w:kern w:val="0"/>
          <w:sz w:val="22"/>
        </w:rPr>
        <w:t xml:space="preserve"> applying for adding an </w:t>
      </w:r>
      <w:bookmarkStart w:id="9" w:name="OLE_LINK9"/>
      <w:r>
        <w:rPr>
          <w:rFonts w:ascii="Times New Roman" w:hAnsi="Times New Roman" w:eastAsia="等线"/>
          <w:kern w:val="0"/>
          <w:sz w:val="22"/>
        </w:rPr>
        <w:t xml:space="preserve">actual control relationship </w:t>
      </w:r>
      <w:bookmarkEnd w:id="9"/>
      <w:r>
        <w:rPr>
          <w:rFonts w:ascii="Times New Roman" w:hAnsi="Times New Roman" w:eastAsia="等线"/>
          <w:kern w:val="0"/>
          <w:sz w:val="22"/>
        </w:rPr>
        <w:t>shall</w:t>
      </w:r>
      <w:bookmarkStart w:id="10" w:name="OLE_LINK8"/>
      <w:r>
        <w:rPr>
          <w:rFonts w:ascii="Times New Roman" w:hAnsi="Times New Roman" w:eastAsia="等线"/>
          <w:kern w:val="0"/>
          <w:sz w:val="22"/>
        </w:rPr>
        <w:t xml:space="preserve"> voluntarily file for such addition with CFMMC through the corresponding filing entity.</w:t>
      </w:r>
      <w:bookmarkEnd w:id="10"/>
    </w:p>
    <w:p>
      <w:pPr>
        <w:keepNext w:val="0"/>
        <w:keepLines w:val="0"/>
        <w:pageBreakBefore w:val="0"/>
        <w:widowControl w:val="0"/>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kern w:val="0"/>
          <w:sz w:val="22"/>
        </w:rPr>
        <w:t>Any Client intending to remove an actual control relationship shall submit an application to CFMMC through its Account Opening Institution to be forwarded to the Exchange for review. The Client shall also submit, through its Account Opening Institution, such relevant explanatory materials as required by the Exchange.</w:t>
      </w:r>
    </w:p>
    <w:p>
      <w:pPr>
        <w:keepNext w:val="0"/>
        <w:keepLines w:val="0"/>
        <w:pageBreakBefore w:val="0"/>
        <w:widowControl w:val="0"/>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kern w:val="0"/>
          <w:sz w:val="22"/>
        </w:rPr>
        <w:t>Any Non-FF Member or OSNBP intending to remove an actual control relationship shall directly apply to the Exchange and provide such explanatory materials as required by the Exchange.</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10</w:t>
      </w:r>
      <w:r>
        <w:rPr>
          <w:rFonts w:ascii="Times New Roman" w:hAnsi="Times New Roman" w:eastAsia="等线"/>
          <w:kern w:val="0"/>
          <w:sz w:val="22"/>
        </w:rPr>
        <w:tab/>
      </w:r>
      <w:r>
        <w:rPr>
          <w:rFonts w:ascii="Times New Roman" w:hAnsi="Times New Roman" w:eastAsia="等线"/>
          <w:kern w:val="0"/>
          <w:sz w:val="22"/>
        </w:rPr>
        <w:t>If the Exchange discovers</w:t>
      </w:r>
      <w:r>
        <w:rPr>
          <w:rFonts w:hint="eastAsia" w:ascii="Times New Roman" w:hAnsi="Times New Roman" w:eastAsia="等线"/>
          <w:kern w:val="0"/>
          <w:sz w:val="22"/>
        </w:rPr>
        <w:t>,</w:t>
      </w:r>
      <w:r>
        <w:rPr>
          <w:rFonts w:ascii="Times New Roman" w:hAnsi="Times New Roman" w:eastAsia="等线"/>
          <w:kern w:val="0"/>
          <w:sz w:val="22"/>
        </w:rPr>
        <w:t xml:space="preserve"> during its day-to-day self-regulation</w:t>
      </w:r>
      <w:r>
        <w:rPr>
          <w:rFonts w:hint="eastAsia" w:ascii="Times New Roman" w:hAnsi="Times New Roman" w:eastAsia="等线"/>
          <w:kern w:val="0"/>
          <w:sz w:val="22"/>
        </w:rPr>
        <w:t>,</w:t>
      </w:r>
      <w:r>
        <w:rPr>
          <w:rFonts w:ascii="Times New Roman" w:hAnsi="Times New Roman" w:eastAsia="等线"/>
          <w:kern w:val="0"/>
          <w:sz w:val="22"/>
        </w:rPr>
        <w:t xml:space="preserve"> an account that is suspected of involving actual control relationship </w:t>
      </w:r>
      <w:r>
        <w:rPr>
          <w:rFonts w:ascii="Times New Roman" w:hAnsi="Times New Roman"/>
          <w:bCs/>
          <w:sz w:val="22"/>
        </w:rPr>
        <w:t>but is not filed</w:t>
      </w:r>
      <w:r>
        <w:rPr>
          <w:rFonts w:ascii="Times New Roman" w:hAnsi="Times New Roman" w:eastAsia="等线"/>
          <w:kern w:val="0"/>
          <w:sz w:val="22"/>
        </w:rPr>
        <w:t xml:space="preserve">, </w:t>
      </w:r>
      <w:r>
        <w:rPr>
          <w:rFonts w:ascii="Times New Roman" w:hAnsi="Times New Roman"/>
          <w:bCs/>
          <w:sz w:val="22"/>
        </w:rPr>
        <w:t xml:space="preserve">and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Client that engage</w:t>
      </w:r>
      <w:r>
        <w:rPr>
          <w:rFonts w:hint="eastAsia" w:ascii="Times New Roman" w:hAnsi="Times New Roman"/>
          <w:bCs/>
          <w:sz w:val="22"/>
        </w:rPr>
        <w:t>s</w:t>
      </w:r>
      <w:r>
        <w:rPr>
          <w:rFonts w:ascii="Times New Roman" w:hAnsi="Times New Roman"/>
          <w:bCs/>
          <w:sz w:val="22"/>
        </w:rPr>
        <w:t xml:space="preserve"> in futures trading </w:t>
      </w:r>
      <w:r>
        <w:rPr>
          <w:rFonts w:hint="eastAsia" w:ascii="Times New Roman" w:hAnsi="Times New Roman"/>
          <w:bCs/>
          <w:sz w:val="22"/>
        </w:rPr>
        <w:t xml:space="preserve">through </w:t>
      </w:r>
      <w:r>
        <w:rPr>
          <w:rFonts w:ascii="Times New Roman" w:hAnsi="Times New Roman"/>
          <w:bCs/>
          <w:sz w:val="22"/>
        </w:rPr>
        <w:t xml:space="preserve">an FF Member, the Exchange is entitled to inquire into the account directly or through the FF Member;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Client that engage</w:t>
      </w:r>
      <w:r>
        <w:rPr>
          <w:rFonts w:hint="eastAsia" w:ascii="Times New Roman" w:hAnsi="Times New Roman"/>
          <w:bCs/>
          <w:sz w:val="22"/>
        </w:rPr>
        <w:t>s</w:t>
      </w:r>
      <w:r>
        <w:rPr>
          <w:rFonts w:ascii="Times New Roman" w:hAnsi="Times New Roman"/>
          <w:bCs/>
          <w:sz w:val="22"/>
        </w:rPr>
        <w:t xml:space="preserve"> in futures trading</w:t>
      </w:r>
      <w:r>
        <w:rPr>
          <w:rFonts w:hint="eastAsia" w:ascii="Times New Roman" w:hAnsi="Times New Roman"/>
          <w:bCs/>
          <w:sz w:val="22"/>
        </w:rPr>
        <w:t xml:space="preserve"> through</w:t>
      </w:r>
      <w:r>
        <w:rPr>
          <w:rFonts w:ascii="Times New Roman" w:hAnsi="Times New Roman"/>
          <w:bCs/>
          <w:sz w:val="22"/>
        </w:rPr>
        <w:t xml:space="preserve"> an OSBP, the Exchange is entitled to inquire into the account directly or through the OSBP;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Non-FF Member or an OSNBP, the Exchange is entitled to inquire into the account directly</w:t>
      </w:r>
      <w:r>
        <w:rPr>
          <w:rFonts w:ascii="Times New Roman" w:hAnsi="Times New Roman" w:eastAsia="等线"/>
          <w:kern w:val="0"/>
          <w:sz w:val="22"/>
        </w:rPr>
        <w:t>.</w:t>
      </w:r>
    </w:p>
    <w:p>
      <w:pPr>
        <w:keepNext w:val="0"/>
        <w:keepLines w:val="0"/>
        <w:pageBreakBefore w:val="0"/>
        <w:widowControl w:val="0"/>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kern w:val="0"/>
          <w:sz w:val="22"/>
        </w:rPr>
        <w:t>If the Client engages in futures trading through an Overseas Intermediary, the relevant FF Member or OSBP shall promptly forward the inquiry to such Overseas Intermediary, who shall inquire the Client about the account.</w:t>
      </w:r>
    </w:p>
    <w:p>
      <w:pPr>
        <w:keepNext w:val="0"/>
        <w:keepLines w:val="0"/>
        <w:pageBreakBefore w:val="0"/>
        <w:widowControl w:val="0"/>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kern w:val="0"/>
          <w:sz w:val="22"/>
        </w:rPr>
        <w:t xml:space="preserve">Non-FF Members, OSNBPs, </w:t>
      </w:r>
      <w:r>
        <w:rPr>
          <w:rFonts w:hint="eastAsia" w:ascii="Times New Roman" w:hAnsi="Times New Roman" w:eastAsia="等线"/>
          <w:kern w:val="0"/>
          <w:sz w:val="22"/>
        </w:rPr>
        <w:t>and</w:t>
      </w:r>
      <w:r>
        <w:rPr>
          <w:rFonts w:ascii="Times New Roman" w:hAnsi="Times New Roman" w:eastAsia="等线"/>
          <w:kern w:val="0"/>
          <w:sz w:val="22"/>
        </w:rPr>
        <w:t xml:space="preserve"> Clients concerned shall respond to the inquiry in writing and furnish relevant materials. The </w:t>
      </w:r>
      <w:bookmarkStart w:id="11" w:name="_Hlk489870974"/>
      <w:r>
        <w:rPr>
          <w:rFonts w:ascii="Times New Roman" w:hAnsi="Times New Roman" w:eastAsia="等线"/>
          <w:kern w:val="0"/>
          <w:sz w:val="22"/>
        </w:rPr>
        <w:t>Account Opening Institution</w:t>
      </w:r>
      <w:bookmarkEnd w:id="11"/>
      <w:r>
        <w:rPr>
          <w:rFonts w:ascii="Times New Roman" w:hAnsi="Times New Roman" w:eastAsia="等线"/>
          <w:kern w:val="0"/>
          <w:sz w:val="22"/>
        </w:rPr>
        <w:t xml:space="preserve"> shall timely forward the written response and materials to the Exchange.</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11</w:t>
      </w:r>
      <w:r>
        <w:rPr>
          <w:rFonts w:ascii="Times New Roman" w:hAnsi="Times New Roman" w:eastAsia="等线"/>
          <w:kern w:val="0"/>
          <w:sz w:val="22"/>
        </w:rPr>
        <w:tab/>
      </w:r>
      <w:r>
        <w:rPr>
          <w:rFonts w:ascii="Times New Roman" w:hAnsi="Times New Roman" w:eastAsia="等线"/>
          <w:kern w:val="0"/>
          <w:sz w:val="22"/>
        </w:rPr>
        <w:t>Any Non-FF Member, OSNBP, or Client acknowledging the existence of an actual control relationship during the inquiry shall make account filing in accordance with the prescribed procedures. Any Non-FF Member, OSNBP, or Client denying the existence of an actual control relationship during the inquiry shall submit written explanat</w:t>
      </w:r>
      <w:r>
        <w:rPr>
          <w:rFonts w:hint="eastAsia" w:ascii="Times New Roman" w:hAnsi="Times New Roman" w:eastAsia="等线"/>
          <w:kern w:val="0"/>
          <w:sz w:val="22"/>
        </w:rPr>
        <w:t>ions</w:t>
      </w:r>
      <w:r>
        <w:rPr>
          <w:rFonts w:ascii="Times New Roman" w:hAnsi="Times New Roman" w:eastAsia="等线"/>
          <w:kern w:val="0"/>
          <w:sz w:val="22"/>
        </w:rPr>
        <w:t xml:space="preserve"> and sign a Compliance Statement and Undertaking (</w:t>
      </w:r>
      <w:r>
        <w:rPr>
          <w:rFonts w:hint="eastAsia" w:ascii="Times New Roman" w:hAnsi="Times New Roman" w:eastAsia="等线"/>
          <w:kern w:val="0"/>
          <w:sz w:val="22"/>
        </w:rPr>
        <w:t xml:space="preserve">see </w:t>
      </w:r>
      <w:r>
        <w:rPr>
          <w:rFonts w:ascii="Times New Roman" w:hAnsi="Times New Roman" w:eastAsia="等线"/>
          <w:kern w:val="0"/>
          <w:sz w:val="22"/>
        </w:rPr>
        <w:t>the official website of the Exchange), following which the Exchange will review the written explanatory materials and take the following actions accordingly:</w:t>
      </w:r>
    </w:p>
    <w:p>
      <w:pPr>
        <w:keepNext w:val="0"/>
        <w:keepLines w:val="0"/>
        <w:pageBreakBefore w:val="0"/>
        <w:widowControl w:val="0"/>
        <w:numPr>
          <w:ilvl w:val="0"/>
          <w:numId w:val="2"/>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hint="eastAsia" w:ascii="Times New Roman" w:hAnsi="Times New Roman" w:eastAsia="等线"/>
          <w:kern w:val="0"/>
          <w:sz w:val="22"/>
        </w:rPr>
        <w:t>if there are concrete facts and reasons to demonstrate that the account does not involve actual control relationship, the Exchange will identify the account as such;</w:t>
      </w:r>
    </w:p>
    <w:p>
      <w:pPr>
        <w:keepNext w:val="0"/>
        <w:keepLines w:val="0"/>
        <w:pageBreakBefore w:val="0"/>
        <w:widowControl w:val="0"/>
        <w:numPr>
          <w:ilvl w:val="0"/>
          <w:numId w:val="2"/>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ascii="Times New Roman" w:hAnsi="Times New Roman"/>
          <w:sz w:val="22"/>
        </w:rPr>
        <w:t>If the facts and reasons given are inadequate and through investigation the Exchange determines that the criteria for determining an actual control relationship are met, the Exchange will require the Non-FF Member, OSNBP or Client to make account filing. If th</w:t>
      </w:r>
      <w:r>
        <w:rPr>
          <w:rFonts w:hint="eastAsia" w:ascii="Times New Roman" w:hAnsi="Times New Roman"/>
          <w:sz w:val="22"/>
        </w:rPr>
        <w:t xml:space="preserve">e </w:t>
      </w:r>
      <w:r>
        <w:rPr>
          <w:rFonts w:ascii="Times New Roman" w:hAnsi="Times New Roman"/>
          <w:sz w:val="22"/>
        </w:rPr>
        <w:t>Non-FF Member, OSNBP or Client fails to complete the filing within the prescribed time, the Exchange may determine, in accordance with these Rules, that an actual control relationship exists. If, after investigation, the Exchange is temporarily unable to determine whether the criteria for determining an actual control relationship are met, the Exchange may include the Non-FF Member, OSNBP or Client in</w:t>
      </w:r>
      <w:r>
        <w:rPr>
          <w:rFonts w:hint="eastAsia" w:ascii="Times New Roman" w:hAnsi="Times New Roman"/>
          <w:sz w:val="22"/>
        </w:rPr>
        <w:t>to</w:t>
      </w:r>
      <w:r>
        <w:rPr>
          <w:rFonts w:ascii="Times New Roman" w:hAnsi="Times New Roman"/>
          <w:sz w:val="22"/>
        </w:rPr>
        <w:t xml:space="preserve"> its watch list.</w:t>
      </w:r>
      <w:r>
        <w:rPr>
          <w:rFonts w:ascii="Times New Roman" w:hAnsi="Times New Roman" w:eastAsia="等线"/>
          <w:kern w:val="0"/>
          <w:sz w:val="22"/>
        </w:rPr>
        <w:t xml:space="preserve"> </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12</w:t>
      </w:r>
      <w:r>
        <w:rPr>
          <w:rFonts w:ascii="Times New Roman" w:hAnsi="Times New Roman" w:eastAsia="等线"/>
          <w:b/>
          <w:kern w:val="0"/>
          <w:sz w:val="22"/>
        </w:rPr>
        <w:tab/>
      </w:r>
      <w:r>
        <w:rPr>
          <w:rFonts w:hint="eastAsia" w:ascii="Times New Roman" w:hAnsi="Times New Roman" w:eastAsia="等线"/>
          <w:kern w:val="0"/>
          <w:sz w:val="22"/>
        </w:rPr>
        <w:t>T</w:t>
      </w:r>
      <w:r>
        <w:rPr>
          <w:rFonts w:ascii="Times New Roman" w:hAnsi="Times New Roman" w:eastAsia="等线"/>
          <w:kern w:val="0"/>
          <w:sz w:val="22"/>
        </w:rPr>
        <w:t xml:space="preserve">he Exchange may adopt such measures against the </w:t>
      </w:r>
      <w:r>
        <w:rPr>
          <w:rFonts w:hint="eastAsia" w:ascii="Times New Roman" w:hAnsi="Times New Roman" w:eastAsia="等线"/>
          <w:kern w:val="0"/>
          <w:sz w:val="22"/>
        </w:rPr>
        <w:t xml:space="preserve">Non-FF Member, OSNBP or </w:t>
      </w:r>
      <w:r>
        <w:rPr>
          <w:rFonts w:ascii="Times New Roman" w:hAnsi="Times New Roman" w:eastAsia="等线"/>
          <w:kern w:val="0"/>
          <w:sz w:val="22"/>
        </w:rPr>
        <w:t xml:space="preserve">Client as giving a verbal alert, issuing a warning letter, </w:t>
      </w:r>
      <w:r>
        <w:rPr>
          <w:rFonts w:hint="eastAsia" w:ascii="Times New Roman" w:hAnsi="Times New Roman" w:eastAsia="等线"/>
          <w:kern w:val="0"/>
          <w:sz w:val="22"/>
        </w:rPr>
        <w:t>limiting</w:t>
      </w:r>
      <w:r>
        <w:rPr>
          <w:rFonts w:ascii="Times New Roman" w:hAnsi="Times New Roman" w:eastAsia="等线"/>
          <w:kern w:val="0"/>
          <w:sz w:val="22"/>
        </w:rPr>
        <w:t xml:space="preserve"> the opening of new positions</w:t>
      </w:r>
      <w:r>
        <w:rPr>
          <w:rFonts w:hint="eastAsia" w:ascii="Times New Roman" w:hAnsi="Times New Roman" w:eastAsia="等线"/>
          <w:kern w:val="0"/>
          <w:sz w:val="22"/>
        </w:rPr>
        <w:t xml:space="preserve">, and </w:t>
      </w:r>
      <w:r>
        <w:rPr>
          <w:rFonts w:hint="eastAsia" w:ascii="Times New Roman" w:hAnsi="Times New Roman"/>
          <w:bCs/>
          <w:kern w:val="0"/>
          <w:sz w:val="22"/>
        </w:rPr>
        <w:t>limiting funds withdrawals</w:t>
      </w:r>
      <w:r>
        <w:rPr>
          <w:rFonts w:ascii="Times New Roman" w:hAnsi="Times New Roman"/>
          <w:bCs/>
          <w:kern w:val="0"/>
          <w:sz w:val="22"/>
        </w:rPr>
        <w:t xml:space="preserve"> </w:t>
      </w:r>
      <w:r>
        <w:rPr>
          <w:rFonts w:hint="eastAsia" w:ascii="Times New Roman" w:hAnsi="Times New Roman"/>
          <w:bCs/>
          <w:kern w:val="0"/>
          <w:sz w:val="22"/>
        </w:rPr>
        <w:t>i</w:t>
      </w:r>
      <w:r>
        <w:rPr>
          <w:rFonts w:ascii="Times New Roman" w:hAnsi="Times New Roman"/>
          <w:bCs/>
          <w:kern w:val="0"/>
          <w:sz w:val="22"/>
        </w:rPr>
        <w:t>f any</w:t>
      </w:r>
      <w:r>
        <w:rPr>
          <w:rFonts w:hint="eastAsia" w:ascii="Times New Roman" w:hAnsi="Times New Roman"/>
          <w:bCs/>
          <w:kern w:val="0"/>
          <w:sz w:val="22"/>
        </w:rPr>
        <w:t xml:space="preserve"> </w:t>
      </w:r>
      <w:r>
        <w:rPr>
          <w:rFonts w:ascii="Times New Roman" w:hAnsi="Times New Roman"/>
          <w:bCs/>
          <w:kern w:val="0"/>
          <w:sz w:val="22"/>
        </w:rPr>
        <w:t xml:space="preserve">Non-FF Member, OSNBP </w:t>
      </w:r>
      <w:r>
        <w:rPr>
          <w:rFonts w:hint="eastAsia" w:ascii="Times New Roman" w:hAnsi="Times New Roman"/>
          <w:bCs/>
          <w:kern w:val="0"/>
          <w:sz w:val="22"/>
        </w:rPr>
        <w:t>or Client:</w:t>
      </w:r>
    </w:p>
    <w:p>
      <w:pPr>
        <w:keepNext w:val="0"/>
        <w:keepLines w:val="0"/>
        <w:pageBreakBefore w:val="0"/>
        <w:widowControl w:val="0"/>
        <w:tabs>
          <w:tab w:val="left" w:pos="480"/>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bCs/>
          <w:kern w:val="0"/>
          <w:sz w:val="22"/>
        </w:rPr>
      </w:pPr>
      <w:r>
        <w:rPr>
          <w:rFonts w:ascii="Times New Roman" w:hAnsi="Times New Roman"/>
          <w:sz w:val="22"/>
        </w:rPr>
        <w:t>(1)</w:t>
      </w:r>
      <w:r>
        <w:rPr>
          <w:rFonts w:ascii="Times New Roman" w:hAnsi="Times New Roman"/>
          <w:sz w:val="22"/>
        </w:rPr>
        <w:tab/>
      </w:r>
      <w:r>
        <w:rPr>
          <w:rFonts w:hint="eastAsia" w:ascii="Times New Roman" w:hAnsi="Times New Roman"/>
          <w:sz w:val="22"/>
        </w:rPr>
        <w:t xml:space="preserve">is involved in </w:t>
      </w:r>
      <w:r>
        <w:rPr>
          <w:rFonts w:hint="eastAsia" w:ascii="Times New Roman" w:hAnsi="Times New Roman"/>
          <w:bCs/>
          <w:kern w:val="0"/>
          <w:sz w:val="22"/>
        </w:rPr>
        <w:t>an actual control relationship but failed to truthfully file relevant information;</w:t>
      </w:r>
    </w:p>
    <w:p>
      <w:pPr>
        <w:keepNext w:val="0"/>
        <w:keepLines w:val="0"/>
        <w:pageBreakBefore w:val="0"/>
        <w:widowControl w:val="0"/>
        <w:tabs>
          <w:tab w:val="left" w:pos="480"/>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sz w:val="22"/>
        </w:rPr>
      </w:pPr>
      <w:r>
        <w:rPr>
          <w:rFonts w:ascii="Times New Roman" w:hAnsi="Times New Roman"/>
          <w:sz w:val="22"/>
        </w:rPr>
        <w:t>(2)</w:t>
      </w:r>
      <w:r>
        <w:rPr>
          <w:rFonts w:ascii="Times New Roman" w:hAnsi="Times New Roman"/>
          <w:sz w:val="22"/>
        </w:rPr>
        <w:tab/>
      </w:r>
      <w:r>
        <w:rPr>
          <w:rFonts w:ascii="Times New Roman" w:hAnsi="Times New Roman"/>
          <w:sz w:val="22"/>
        </w:rPr>
        <w:t>fail</w:t>
      </w:r>
      <w:r>
        <w:rPr>
          <w:rFonts w:hint="eastAsia" w:ascii="Times New Roman" w:hAnsi="Times New Roman"/>
          <w:sz w:val="22"/>
        </w:rPr>
        <w:t>s</w:t>
      </w:r>
      <w:r>
        <w:rPr>
          <w:rFonts w:ascii="Times New Roman" w:hAnsi="Times New Roman"/>
          <w:sz w:val="22"/>
        </w:rPr>
        <w:t xml:space="preserve"> to, or fail</w:t>
      </w:r>
      <w:r>
        <w:rPr>
          <w:rFonts w:hint="eastAsia" w:ascii="Times New Roman" w:hAnsi="Times New Roman"/>
          <w:sz w:val="22"/>
        </w:rPr>
        <w:t>s</w:t>
      </w:r>
      <w:r>
        <w:rPr>
          <w:rFonts w:ascii="Times New Roman" w:hAnsi="Times New Roman"/>
          <w:sz w:val="22"/>
        </w:rPr>
        <w:t xml:space="preserve"> to truthfully re</w:t>
      </w:r>
      <w:r>
        <w:rPr>
          <w:rFonts w:hint="eastAsia" w:ascii="Times New Roman" w:hAnsi="Times New Roman"/>
          <w:sz w:val="22"/>
        </w:rPr>
        <w:t>spond</w:t>
      </w:r>
      <w:r>
        <w:rPr>
          <w:rFonts w:ascii="Times New Roman" w:hAnsi="Times New Roman"/>
          <w:sz w:val="22"/>
        </w:rPr>
        <w:t xml:space="preserve"> to, any inquiry or investigation of the Exchange, or </w:t>
      </w:r>
      <w:r>
        <w:rPr>
          <w:rFonts w:hint="eastAsia" w:ascii="Times New Roman" w:hAnsi="Times New Roman"/>
          <w:sz w:val="22"/>
        </w:rPr>
        <w:t>elects to withhold</w:t>
      </w:r>
      <w:r>
        <w:rPr>
          <w:rFonts w:ascii="Times New Roman" w:hAnsi="Times New Roman"/>
          <w:sz w:val="22"/>
        </w:rPr>
        <w:t xml:space="preserve"> facts</w:t>
      </w:r>
      <w:r>
        <w:rPr>
          <w:rFonts w:hint="eastAsia" w:ascii="Times New Roman" w:hAnsi="Times New Roman"/>
          <w:sz w:val="22"/>
        </w:rPr>
        <w:t>,</w:t>
      </w:r>
      <w:r>
        <w:rPr>
          <w:rFonts w:ascii="Times New Roman" w:hAnsi="Times New Roman"/>
          <w:sz w:val="22"/>
        </w:rPr>
        <w:t xml:space="preserve"> or evad</w:t>
      </w:r>
      <w:r>
        <w:rPr>
          <w:rFonts w:hint="eastAsia" w:ascii="Times New Roman" w:hAnsi="Times New Roman"/>
          <w:sz w:val="22"/>
        </w:rPr>
        <w:t>es such inquiry or investigation</w:t>
      </w:r>
      <w:r>
        <w:rPr>
          <w:rFonts w:ascii="Times New Roman" w:hAnsi="Times New Roman"/>
          <w:sz w:val="22"/>
        </w:rPr>
        <w:t>;</w:t>
      </w:r>
    </w:p>
    <w:p>
      <w:pPr>
        <w:keepNext w:val="0"/>
        <w:keepLines w:val="0"/>
        <w:pageBreakBefore w:val="0"/>
        <w:widowControl w:val="0"/>
        <w:tabs>
          <w:tab w:val="left" w:pos="480"/>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sz w:val="22"/>
        </w:rPr>
      </w:pPr>
      <w:r>
        <w:rPr>
          <w:rFonts w:ascii="Times New Roman" w:hAnsi="Times New Roman"/>
          <w:sz w:val="22"/>
        </w:rPr>
        <w:t>(3)</w:t>
      </w:r>
      <w:r>
        <w:rPr>
          <w:rFonts w:ascii="Times New Roman" w:hAnsi="Times New Roman"/>
          <w:sz w:val="22"/>
        </w:rPr>
        <w:tab/>
      </w:r>
      <w:r>
        <w:rPr>
          <w:rFonts w:ascii="Times New Roman" w:hAnsi="Times New Roman"/>
          <w:sz w:val="22"/>
        </w:rPr>
        <w:t>fail</w:t>
      </w:r>
      <w:r>
        <w:rPr>
          <w:rFonts w:hint="eastAsia" w:ascii="Times New Roman" w:hAnsi="Times New Roman"/>
          <w:sz w:val="22"/>
        </w:rPr>
        <w:t>s</w:t>
      </w:r>
      <w:r>
        <w:rPr>
          <w:rFonts w:ascii="Times New Roman" w:hAnsi="Times New Roman"/>
          <w:sz w:val="22"/>
        </w:rPr>
        <w:t xml:space="preserve"> to file an actual control relationship to circumvent the Exchange’s </w:t>
      </w:r>
      <w:r>
        <w:rPr>
          <w:rFonts w:hint="eastAsia" w:ascii="Times New Roman" w:hAnsi="Times New Roman"/>
          <w:sz w:val="22"/>
        </w:rPr>
        <w:t xml:space="preserve">administration </w:t>
      </w:r>
      <w:r>
        <w:rPr>
          <w:rFonts w:ascii="Times New Roman" w:hAnsi="Times New Roman"/>
          <w:sz w:val="22"/>
        </w:rPr>
        <w:t>of abnormal trading behaviors, risk control management, or the like; or</w:t>
      </w:r>
    </w:p>
    <w:p>
      <w:pPr>
        <w:keepNext w:val="0"/>
        <w:keepLines w:val="0"/>
        <w:pageBreakBefore w:val="0"/>
        <w:widowControl w:val="0"/>
        <w:tabs>
          <w:tab w:val="left" w:pos="426"/>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sz w:val="22"/>
        </w:rPr>
        <w:t>(4)</w:t>
      </w:r>
      <w:r>
        <w:rPr>
          <w:rFonts w:ascii="Times New Roman" w:hAnsi="Times New Roman"/>
          <w:sz w:val="22"/>
        </w:rPr>
        <w:tab/>
      </w:r>
      <w:r>
        <w:rPr>
          <w:rFonts w:ascii="Times New Roman" w:hAnsi="Times New Roman"/>
          <w:sz w:val="22"/>
        </w:rPr>
        <w:t>provid</w:t>
      </w:r>
      <w:r>
        <w:rPr>
          <w:rFonts w:hint="eastAsia" w:ascii="Times New Roman" w:hAnsi="Times New Roman"/>
          <w:sz w:val="22"/>
        </w:rPr>
        <w:t>es</w:t>
      </w:r>
      <w:r>
        <w:rPr>
          <w:rFonts w:ascii="Times New Roman" w:hAnsi="Times New Roman"/>
          <w:sz w:val="22"/>
        </w:rPr>
        <w:t xml:space="preserve"> false materials </w:t>
      </w:r>
      <w:r>
        <w:rPr>
          <w:rFonts w:hint="eastAsia" w:ascii="Times New Roman" w:hAnsi="Times New Roman"/>
          <w:sz w:val="22"/>
        </w:rPr>
        <w:t>to</w:t>
      </w:r>
      <w:r>
        <w:rPr>
          <w:rFonts w:ascii="Times New Roman" w:hAnsi="Times New Roman"/>
          <w:sz w:val="22"/>
        </w:rPr>
        <w:t xml:space="preserve"> apply for the </w:t>
      </w:r>
      <w:r>
        <w:rPr>
          <w:rFonts w:hint="eastAsia" w:ascii="Times New Roman" w:hAnsi="Times New Roman"/>
          <w:sz w:val="22"/>
        </w:rPr>
        <w:t>removal of</w:t>
      </w:r>
      <w:r>
        <w:rPr>
          <w:rFonts w:ascii="Times New Roman" w:hAnsi="Times New Roman"/>
          <w:sz w:val="22"/>
        </w:rPr>
        <w:t xml:space="preserve"> an actual control relationship.</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13</w:t>
      </w:r>
      <w:r>
        <w:rPr>
          <w:rFonts w:ascii="Times New Roman" w:hAnsi="Times New Roman" w:eastAsia="等线"/>
          <w:kern w:val="0"/>
          <w:sz w:val="22"/>
        </w:rPr>
        <w:tab/>
      </w:r>
      <w:r>
        <w:rPr>
          <w:rFonts w:ascii="Times New Roman" w:hAnsi="Times New Roman" w:eastAsia="等线"/>
          <w:kern w:val="0"/>
          <w:sz w:val="22"/>
        </w:rPr>
        <w:t>If an Account Opening Institution falls under any of the following circumstances, the Exchange will order it to make corrections and may adopt such measures as giving a verbal alert, issuing a warning letter, and issuing an opinion letter:</w:t>
      </w:r>
    </w:p>
    <w:p>
      <w:pPr>
        <w:keepNext w:val="0"/>
        <w:keepLines w:val="0"/>
        <w:pageBreakBefore w:val="0"/>
        <w:widowControl w:val="0"/>
        <w:numPr>
          <w:ilvl w:val="0"/>
          <w:numId w:val="3"/>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ascii="Times New Roman" w:hAnsi="Times New Roman" w:eastAsia="等线"/>
          <w:kern w:val="0"/>
          <w:sz w:val="22"/>
        </w:rPr>
        <w:t xml:space="preserve">failing to promptly, accurately, and fully inform Clients of the rules of the Exchange </w:t>
      </w:r>
      <w:bookmarkStart w:id="12" w:name="OLE_LINK13"/>
      <w:r>
        <w:rPr>
          <w:rFonts w:ascii="Times New Roman" w:hAnsi="Times New Roman" w:eastAsia="等线"/>
          <w:kern w:val="0"/>
          <w:sz w:val="22"/>
        </w:rPr>
        <w:t>regarding accounts involving actual control relationship</w:t>
      </w:r>
      <w:bookmarkEnd w:id="12"/>
      <w:r>
        <w:rPr>
          <w:rFonts w:ascii="Times New Roman" w:hAnsi="Times New Roman" w:eastAsia="等线"/>
          <w:kern w:val="0"/>
          <w:sz w:val="22"/>
        </w:rPr>
        <w:t>;</w:t>
      </w:r>
    </w:p>
    <w:p>
      <w:pPr>
        <w:keepNext w:val="0"/>
        <w:keepLines w:val="0"/>
        <w:pageBreakBefore w:val="0"/>
        <w:widowControl w:val="0"/>
        <w:numPr>
          <w:ilvl w:val="0"/>
          <w:numId w:val="3"/>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ascii="Times New Roman" w:hAnsi="Times New Roman" w:eastAsia="等线"/>
          <w:kern w:val="0"/>
          <w:sz w:val="22"/>
        </w:rPr>
        <w:t>failing to promptly, accurately, and fully record and update information regarding accounts involving actual control relationship;</w:t>
      </w:r>
    </w:p>
    <w:p>
      <w:pPr>
        <w:keepNext w:val="0"/>
        <w:keepLines w:val="0"/>
        <w:pageBreakBefore w:val="0"/>
        <w:widowControl w:val="0"/>
        <w:numPr>
          <w:ilvl w:val="0"/>
          <w:numId w:val="3"/>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ascii="Times New Roman" w:hAnsi="Times New Roman" w:eastAsia="等线"/>
          <w:kern w:val="0"/>
          <w:sz w:val="22"/>
        </w:rPr>
        <w:t>condoning, inducing, encouraging, or assisting Clients to make false filing or conceal facts;</w:t>
      </w:r>
    </w:p>
    <w:p>
      <w:pPr>
        <w:keepNext w:val="0"/>
        <w:keepLines w:val="0"/>
        <w:pageBreakBefore w:val="0"/>
        <w:widowControl w:val="0"/>
        <w:numPr>
          <w:ilvl w:val="0"/>
          <w:numId w:val="3"/>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ascii="Times New Roman" w:hAnsi="Times New Roman" w:eastAsia="等线"/>
          <w:kern w:val="0"/>
          <w:sz w:val="22"/>
        </w:rPr>
        <w:t>failing to keep the Clients’ materials secure according to applicable rules;</w:t>
      </w:r>
    </w:p>
    <w:p>
      <w:pPr>
        <w:keepNext w:val="0"/>
        <w:keepLines w:val="0"/>
        <w:pageBreakBefore w:val="0"/>
        <w:widowControl w:val="0"/>
        <w:numPr>
          <w:ilvl w:val="0"/>
          <w:numId w:val="3"/>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ascii="Times New Roman" w:hAnsi="Times New Roman" w:eastAsia="等线"/>
          <w:kern w:val="0"/>
          <w:sz w:val="22"/>
        </w:rPr>
        <w:t>failing to provide assistance in the inquiry of accounts involving actual control relationship as required by the Exchange, or willfully delaying progress or concealing or omitting facts; or</w:t>
      </w:r>
    </w:p>
    <w:p>
      <w:pPr>
        <w:keepNext w:val="0"/>
        <w:keepLines w:val="0"/>
        <w:pageBreakBefore w:val="0"/>
        <w:widowControl w:val="0"/>
        <w:numPr>
          <w:ilvl w:val="0"/>
          <w:numId w:val="3"/>
        </w:numPr>
        <w:kinsoku/>
        <w:wordWrap/>
        <w:overflowPunct/>
        <w:topLinePunct w:val="0"/>
        <w:autoSpaceDE/>
        <w:autoSpaceDN/>
        <w:bidi w:val="0"/>
        <w:adjustRightInd/>
        <w:snapToGrid w:val="0"/>
        <w:spacing w:after="181" w:afterLines="50" w:line="360" w:lineRule="exact"/>
        <w:ind w:left="0" w:firstLine="0"/>
        <w:jc w:val="both"/>
        <w:textAlignment w:val="auto"/>
        <w:rPr>
          <w:rFonts w:ascii="Times New Roman" w:hAnsi="Times New Roman" w:eastAsia="等线"/>
          <w:kern w:val="0"/>
          <w:sz w:val="22"/>
        </w:rPr>
      </w:pPr>
      <w:r>
        <w:rPr>
          <w:rFonts w:ascii="Times New Roman" w:hAnsi="Times New Roman" w:eastAsia="等线"/>
          <w:kern w:val="0"/>
          <w:sz w:val="22"/>
        </w:rPr>
        <w:t>any other circumstances determined by the Exchange.</w:t>
      </w:r>
    </w:p>
    <w:p>
      <w:pPr>
        <w:keepNext w:val="0"/>
        <w:keepLines w:val="0"/>
        <w:pageBreakBefore w:val="0"/>
        <w:widowControl w:val="0"/>
        <w:kinsoku/>
        <w:wordWrap/>
        <w:overflowPunct/>
        <w:topLinePunct w:val="0"/>
        <w:autoSpaceDE/>
        <w:autoSpaceDN/>
        <w:bidi w:val="0"/>
        <w:adjustRightInd/>
        <w:snapToGrid w:val="0"/>
        <w:spacing w:after="181" w:afterLines="50" w:line="360" w:lineRule="exact"/>
        <w:jc w:val="center"/>
        <w:textAlignment w:val="auto"/>
        <w:rPr>
          <w:rFonts w:ascii="Times New Roman" w:hAnsi="Times New Roman"/>
          <w:b/>
          <w:bCs/>
          <w:kern w:val="0"/>
          <w:sz w:val="22"/>
        </w:rPr>
      </w:pPr>
      <w:bookmarkStart w:id="13" w:name="_Toc501635900"/>
      <w:r>
        <w:rPr>
          <w:rFonts w:ascii="Times New Roman" w:hAnsi="Times New Roman"/>
          <w:b/>
          <w:bCs/>
          <w:kern w:val="0"/>
          <w:sz w:val="22"/>
        </w:rPr>
        <w:t>Chapter 4</w:t>
      </w:r>
      <w:r>
        <w:rPr>
          <w:rFonts w:ascii="Times New Roman" w:hAnsi="Times New Roman"/>
          <w:b/>
          <w:bCs/>
          <w:kern w:val="0"/>
          <w:sz w:val="22"/>
        </w:rPr>
        <w:tab/>
      </w:r>
      <w:r>
        <w:rPr>
          <w:rFonts w:ascii="Times New Roman" w:hAnsi="Times New Roman"/>
          <w:b/>
          <w:bCs/>
          <w:kern w:val="0"/>
          <w:sz w:val="22"/>
        </w:rPr>
        <w:t>Account Administration</w:t>
      </w:r>
      <w:bookmarkEnd w:id="13"/>
    </w:p>
    <w:p>
      <w:pPr>
        <w:keepNext w:val="0"/>
        <w:keepLines w:val="0"/>
        <w:pageBreakBefore w:val="0"/>
        <w:widowControl w:val="0"/>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14</w:t>
      </w:r>
      <w:r>
        <w:rPr>
          <w:rFonts w:ascii="Times New Roman" w:hAnsi="Times New Roman" w:eastAsia="等线"/>
          <w:b/>
          <w:kern w:val="0"/>
          <w:sz w:val="22"/>
        </w:rPr>
        <w:tab/>
      </w:r>
      <w:bookmarkStart w:id="14" w:name="OLE_LINK15"/>
      <w:bookmarkStart w:id="15" w:name="OLE_LINK14"/>
      <w:r>
        <w:rPr>
          <w:rFonts w:ascii="Times New Roman" w:hAnsi="Times New Roman" w:eastAsia="等线"/>
          <w:kern w:val="0"/>
          <w:sz w:val="22"/>
        </w:rPr>
        <w:t xml:space="preserve">The Exchange shall consider the </w:t>
      </w:r>
      <w:r>
        <w:rPr>
          <w:rFonts w:hint="eastAsia" w:ascii="Times New Roman" w:hAnsi="Times New Roman" w:eastAsia="等线"/>
          <w:kern w:val="0"/>
          <w:sz w:val="22"/>
        </w:rPr>
        <w:t xml:space="preserve">orders, </w:t>
      </w:r>
      <w:r>
        <w:rPr>
          <w:rFonts w:ascii="Times New Roman" w:hAnsi="Times New Roman" w:eastAsia="等线"/>
          <w:kern w:val="0"/>
          <w:sz w:val="22"/>
        </w:rPr>
        <w:t>trades, positions, and other relevant metrics of a group of accounts with actual control relationship on an aggregate basis when applying such rules as position limit, intraday open position volume, abnormal trading behaviors management, and large trader position reporting.</w:t>
      </w:r>
      <w:bookmarkEnd w:id="14"/>
      <w:bookmarkEnd w:id="15"/>
    </w:p>
    <w:p>
      <w:pPr>
        <w:keepNext w:val="0"/>
        <w:keepLines w:val="0"/>
        <w:pageBreakBefore w:val="0"/>
        <w:widowControl w:val="0"/>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b/>
          <w:kern w:val="0"/>
          <w:sz w:val="22"/>
        </w:rPr>
      </w:pPr>
      <w:r>
        <w:rPr>
          <w:rFonts w:ascii="Times New Roman" w:hAnsi="Times New Roman" w:eastAsia="等线"/>
          <w:b/>
          <w:kern w:val="0"/>
          <w:sz w:val="22"/>
        </w:rPr>
        <w:t>Article 15</w:t>
      </w:r>
      <w:r>
        <w:rPr>
          <w:rFonts w:ascii="Times New Roman" w:hAnsi="Times New Roman" w:eastAsia="等线"/>
          <w:b/>
          <w:kern w:val="0"/>
          <w:sz w:val="22"/>
        </w:rPr>
        <w:tab/>
      </w:r>
      <w:r>
        <w:rPr>
          <w:rFonts w:ascii="Times New Roman" w:hAnsi="Times New Roman" w:eastAsia="等线"/>
          <w:kern w:val="0"/>
          <w:sz w:val="22"/>
        </w:rPr>
        <w:t xml:space="preserve">Where a group of accounts with actual control relationship involve only Clients, the Exchange shall limit the aggregate size of general and arbitrage positions under these accounts to within the sum of (a) the general position limit of futures contract during different trading periods for a single Client as prescribed by the </w:t>
      </w:r>
      <w:r>
        <w:rPr>
          <w:rFonts w:ascii="Times New Roman" w:hAnsi="Times New Roman" w:eastAsia="等线"/>
          <w:i/>
          <w:kern w:val="0"/>
          <w:sz w:val="22"/>
        </w:rPr>
        <w:t>Risk Management Rules</w:t>
      </w:r>
      <w:r>
        <w:rPr>
          <w:rFonts w:ascii="Times New Roman" w:hAnsi="Times New Roman" w:eastAsia="等线"/>
          <w:kern w:val="0"/>
          <w:sz w:val="22"/>
        </w:rPr>
        <w:t xml:space="preserve"> and (b) the combined arbitrage quota for all group members as approved by the Exchange during those periods.</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b/>
          <w:kern w:val="0"/>
          <w:sz w:val="22"/>
        </w:rPr>
      </w:pPr>
      <w:r>
        <w:rPr>
          <w:rFonts w:ascii="Times New Roman" w:hAnsi="Times New Roman" w:eastAsia="等线"/>
          <w:kern w:val="0"/>
          <w:sz w:val="22"/>
        </w:rPr>
        <w:t xml:space="preserve">Where a group of accounts with actual control relationship involve Non-FF Members or OSNBPs, the Exchange shall limit the aggregate size of general and arbitrage positions under these accounts to within the sum of (a) the general position limit of futures contract during different trading periods for a single Non-FF Member or OSNBP as prescribed by the </w:t>
      </w:r>
      <w:r>
        <w:rPr>
          <w:rFonts w:ascii="Times New Roman" w:hAnsi="Times New Roman" w:eastAsia="等线"/>
          <w:i/>
          <w:kern w:val="0"/>
          <w:sz w:val="22"/>
        </w:rPr>
        <w:t>Risk Management Rules</w:t>
      </w:r>
      <w:r>
        <w:rPr>
          <w:rFonts w:ascii="Times New Roman" w:hAnsi="Times New Roman" w:eastAsia="等线"/>
          <w:kern w:val="0"/>
          <w:sz w:val="22"/>
        </w:rPr>
        <w:t xml:space="preserve"> and (b) the combined arbitrage quota for all group members as approved by the Exchange during those periods.</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16</w:t>
      </w:r>
      <w:r>
        <w:rPr>
          <w:rFonts w:ascii="Times New Roman" w:hAnsi="Times New Roman" w:eastAsia="等线"/>
          <w:b/>
          <w:kern w:val="0"/>
          <w:sz w:val="22"/>
        </w:rPr>
        <w:tab/>
      </w:r>
      <w:r>
        <w:rPr>
          <w:rFonts w:ascii="Times New Roman" w:hAnsi="Times New Roman" w:eastAsia="等线"/>
          <w:kern w:val="0"/>
          <w:sz w:val="22"/>
        </w:rPr>
        <w:t>If a combined position over-limit occurs with respect to a group of accounts with actual control relationship, the Exchange will, after market close on the same day, notify the relevant FF Members or Overseas Special Participants to require the Clients concerned to close their positions. If the Clients engage in futures trading through Overseas Intermediaries, the relevant FF Members or OSBPs shall promptly forward the alert notice to the Clients via the Overseas Intermediaries.</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kern w:val="0"/>
          <w:sz w:val="22"/>
        </w:rPr>
        <w:t>If any of such Clients fail to complete the position closing within the first trading session of the next trading day, the Exchange will implement forced position liquidation, one Client at a time, by descending combined size of their respective general positions and arbitrage positions, until the combined size of positions held by the whole group complies with the position limit prescribed by the Exchange.</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b/>
          <w:kern w:val="0"/>
          <w:sz w:val="22"/>
        </w:rPr>
      </w:pPr>
      <w:r>
        <w:rPr>
          <w:rFonts w:ascii="Times New Roman" w:hAnsi="Times New Roman" w:eastAsia="等线"/>
          <w:b/>
          <w:kern w:val="0"/>
          <w:sz w:val="22"/>
        </w:rPr>
        <w:t>Article 17</w:t>
      </w:r>
      <w:r>
        <w:rPr>
          <w:rFonts w:ascii="Times New Roman" w:hAnsi="Times New Roman" w:eastAsia="等线"/>
          <w:b/>
          <w:kern w:val="0"/>
          <w:sz w:val="22"/>
        </w:rPr>
        <w:tab/>
      </w:r>
      <w:r>
        <w:rPr>
          <w:rFonts w:ascii="Times New Roman" w:hAnsi="Times New Roman" w:eastAsia="等线"/>
          <w:kern w:val="0"/>
          <w:sz w:val="22"/>
        </w:rPr>
        <w:t>The aggregate position opening volume in a listed product or futures contract within a group of accounts involving actual control relationship in a single trading day shall not exceed the intraday open position volume for a single Client prescribed by the Exchange.</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b/>
          <w:kern w:val="0"/>
          <w:sz w:val="22"/>
        </w:rPr>
      </w:pPr>
      <w:r>
        <w:rPr>
          <w:rFonts w:ascii="Times New Roman" w:hAnsi="Times New Roman" w:eastAsia="等线"/>
          <w:b/>
          <w:kern w:val="0"/>
          <w:sz w:val="22"/>
        </w:rPr>
        <w:t>Article 18</w:t>
      </w:r>
      <w:r>
        <w:rPr>
          <w:rFonts w:ascii="Times New Roman" w:hAnsi="Times New Roman" w:eastAsia="等线"/>
          <w:b/>
          <w:kern w:val="0"/>
          <w:sz w:val="22"/>
        </w:rPr>
        <w:tab/>
      </w:r>
      <w:r>
        <w:rPr>
          <w:rFonts w:ascii="Times New Roman" w:hAnsi="Times New Roman" w:eastAsia="等线"/>
          <w:kern w:val="0"/>
          <w:sz w:val="22"/>
        </w:rPr>
        <w:t xml:space="preserve">Where, with respect to a group of accounts with actual control relationship, the </w:t>
      </w:r>
      <w:bookmarkStart w:id="16" w:name="OLE_LINK23"/>
      <w:bookmarkStart w:id="17" w:name="OLE_LINK22"/>
      <w:r>
        <w:rPr>
          <w:rFonts w:ascii="Times New Roman" w:hAnsi="Times New Roman" w:eastAsia="等线"/>
          <w:kern w:val="0"/>
          <w:sz w:val="22"/>
        </w:rPr>
        <w:t>aggregate self trading volume</w:t>
      </w:r>
      <w:bookmarkEnd w:id="16"/>
      <w:bookmarkEnd w:id="17"/>
      <w:r>
        <w:rPr>
          <w:rFonts w:ascii="Times New Roman" w:hAnsi="Times New Roman" w:eastAsia="等线"/>
          <w:kern w:val="0"/>
          <w:sz w:val="22"/>
        </w:rPr>
        <w:t>, number of orders canceled, number of large-amount orders canceled, intraday open position volume, or any other relevant metric reaches the threshold for the Exchange to take self-regulatory actions</w:t>
      </w:r>
      <w:bookmarkStart w:id="18" w:name="OLE_LINK16"/>
      <w:r>
        <w:rPr>
          <w:rFonts w:ascii="Times New Roman" w:hAnsi="Times New Roman" w:eastAsia="等线"/>
          <w:kern w:val="0"/>
          <w:sz w:val="22"/>
        </w:rPr>
        <w:t xml:space="preserve"> under</w:t>
      </w:r>
      <w:bookmarkEnd w:id="18"/>
      <w:r>
        <w:rPr>
          <w:rFonts w:ascii="Times New Roman" w:hAnsi="Times New Roman" w:eastAsia="等线"/>
          <w:kern w:val="0"/>
          <w:sz w:val="22"/>
        </w:rPr>
        <w:t xml:space="preserve"> the </w:t>
      </w:r>
      <w:r>
        <w:rPr>
          <w:rFonts w:ascii="Times New Roman" w:hAnsi="Times New Roman" w:eastAsia="等线"/>
          <w:i/>
          <w:kern w:val="0"/>
          <w:sz w:val="22"/>
        </w:rPr>
        <w:t>Rules of the Shanghai International Energy Exchange for the Administration of Abnormal Trading Behaviors</w:t>
      </w:r>
      <w:r>
        <w:rPr>
          <w:rFonts w:ascii="Times New Roman" w:hAnsi="Times New Roman" w:eastAsia="等线"/>
          <w:kern w:val="0"/>
          <w:sz w:val="22"/>
        </w:rPr>
        <w:t>, the Exchange shall do so against the group of accounts.</w:t>
      </w:r>
    </w:p>
    <w:p>
      <w:pPr>
        <w:keepNext w:val="0"/>
        <w:keepLines w:val="0"/>
        <w:pageBreakBefore w:val="0"/>
        <w:widowControl w:val="0"/>
        <w:kinsoku/>
        <w:wordWrap/>
        <w:overflowPunct/>
        <w:topLinePunct w:val="0"/>
        <w:autoSpaceDE/>
        <w:autoSpaceDN/>
        <w:bidi w:val="0"/>
        <w:adjustRightInd/>
        <w:snapToGrid w:val="0"/>
        <w:spacing w:after="181" w:afterLines="50" w:line="360" w:lineRule="exact"/>
        <w:jc w:val="center"/>
        <w:textAlignment w:val="auto"/>
        <w:rPr>
          <w:rFonts w:ascii="Times New Roman" w:hAnsi="Times New Roman"/>
          <w:b/>
          <w:bCs/>
          <w:kern w:val="0"/>
          <w:sz w:val="22"/>
        </w:rPr>
      </w:pPr>
      <w:bookmarkStart w:id="20" w:name="_GoBack"/>
      <w:bookmarkStart w:id="19" w:name="_Toc501635901"/>
      <w:r>
        <w:rPr>
          <w:rFonts w:ascii="Times New Roman" w:hAnsi="Times New Roman"/>
          <w:b/>
          <w:bCs/>
          <w:kern w:val="0"/>
          <w:sz w:val="22"/>
        </w:rPr>
        <w:t>Chapter 5</w:t>
      </w:r>
      <w:r>
        <w:rPr>
          <w:rFonts w:ascii="Times New Roman" w:hAnsi="Times New Roman"/>
          <w:b/>
          <w:bCs/>
          <w:kern w:val="0"/>
          <w:sz w:val="22"/>
        </w:rPr>
        <w:tab/>
      </w:r>
      <w:r>
        <w:rPr>
          <w:rFonts w:ascii="Times New Roman" w:hAnsi="Times New Roman"/>
          <w:b/>
          <w:bCs/>
          <w:kern w:val="0"/>
          <w:sz w:val="22"/>
        </w:rPr>
        <w:t>Miscellaneous</w:t>
      </w:r>
      <w:bookmarkEnd w:id="19"/>
    </w:p>
    <w:bookmarkEnd w:id="20"/>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19</w:t>
      </w:r>
      <w:r>
        <w:rPr>
          <w:rFonts w:ascii="Times New Roman" w:hAnsi="Times New Roman" w:eastAsia="等线"/>
          <w:kern w:val="0"/>
          <w:sz w:val="22"/>
        </w:rPr>
        <w:tab/>
      </w:r>
      <w:r>
        <w:rPr>
          <w:rFonts w:ascii="Times New Roman" w:hAnsi="Times New Roman" w:eastAsia="等线"/>
          <w:kern w:val="0"/>
          <w:sz w:val="22"/>
        </w:rPr>
        <w:t xml:space="preserve">Unless otherwise provided by these </w:t>
      </w:r>
      <w:r>
        <w:rPr>
          <w:rFonts w:ascii="Times New Roman" w:hAnsi="Times New Roman" w:eastAsia="等线"/>
          <w:i/>
          <w:kern w:val="0"/>
          <w:sz w:val="22"/>
        </w:rPr>
        <w:t>Rules</w:t>
      </w:r>
      <w:r>
        <w:rPr>
          <w:rFonts w:ascii="Times New Roman" w:hAnsi="Times New Roman" w:eastAsia="等线"/>
          <w:kern w:val="0"/>
          <w:sz w:val="22"/>
        </w:rPr>
        <w:t>, Non-FF Members and OSNBPs shall be administered by reference to the provisions applicable to Clients.</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bCs/>
          <w:kern w:val="0"/>
          <w:sz w:val="22"/>
        </w:rPr>
        <w:t>Article 20</w:t>
      </w:r>
      <w:r>
        <w:rPr>
          <w:rFonts w:ascii="Times New Roman" w:hAnsi="Times New Roman" w:eastAsia="等线"/>
          <w:b/>
          <w:bCs/>
          <w:kern w:val="0"/>
          <w:sz w:val="22"/>
        </w:rPr>
        <w:tab/>
      </w:r>
      <w:r>
        <w:rPr>
          <w:rFonts w:ascii="Times New Roman" w:hAnsi="Times New Roman"/>
          <w:sz w:val="22"/>
        </w:rPr>
        <w:t>Any violation of these Rules shall be handled by the Exchange in accordance with the Enforcement Rules.</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21</w:t>
      </w:r>
      <w:r>
        <w:rPr>
          <w:rFonts w:ascii="Times New Roman" w:hAnsi="Times New Roman" w:eastAsia="等线"/>
          <w:kern w:val="0"/>
          <w:sz w:val="22"/>
        </w:rPr>
        <w:tab/>
      </w:r>
      <w:r>
        <w:rPr>
          <w:rFonts w:ascii="Times New Roman" w:hAnsi="Times New Roman" w:eastAsia="等线"/>
          <w:kern w:val="0"/>
          <w:sz w:val="22"/>
        </w:rPr>
        <w:t>The Exchange reserves the right to interpret these</w:t>
      </w:r>
      <w:r>
        <w:rPr>
          <w:rFonts w:ascii="Times New Roman" w:hAnsi="Times New Roman" w:eastAsia="等线"/>
          <w:i/>
          <w:kern w:val="0"/>
          <w:sz w:val="22"/>
        </w:rPr>
        <w:t xml:space="preserve"> Rules</w:t>
      </w:r>
      <w:r>
        <w:rPr>
          <w:rFonts w:ascii="Times New Roman" w:hAnsi="Times New Roman" w:eastAsia="等线"/>
          <w:kern w:val="0"/>
          <w:sz w:val="22"/>
        </w:rPr>
        <w:t>.</w:t>
      </w:r>
    </w:p>
    <w:p>
      <w:pPr>
        <w:keepNext w:val="0"/>
        <w:keepLines w:val="0"/>
        <w:pageBreakBefore w:val="0"/>
        <w:widowControl w:val="0"/>
        <w:tabs>
          <w:tab w:val="left" w:pos="1134"/>
        </w:tabs>
        <w:kinsoku/>
        <w:wordWrap/>
        <w:overflowPunct/>
        <w:topLinePunct w:val="0"/>
        <w:autoSpaceDE/>
        <w:autoSpaceDN/>
        <w:bidi w:val="0"/>
        <w:adjustRightInd/>
        <w:snapToGrid w:val="0"/>
        <w:spacing w:after="181" w:afterLines="50" w:line="360" w:lineRule="exact"/>
        <w:jc w:val="both"/>
        <w:textAlignment w:val="auto"/>
        <w:rPr>
          <w:rFonts w:ascii="Times New Roman" w:hAnsi="Times New Roman" w:eastAsia="等线"/>
          <w:kern w:val="0"/>
          <w:sz w:val="22"/>
        </w:rPr>
      </w:pPr>
      <w:r>
        <w:rPr>
          <w:rFonts w:ascii="Times New Roman" w:hAnsi="Times New Roman" w:eastAsia="等线"/>
          <w:b/>
          <w:kern w:val="0"/>
          <w:sz w:val="22"/>
        </w:rPr>
        <w:t>Article 22</w:t>
      </w:r>
      <w:r>
        <w:rPr>
          <w:rFonts w:ascii="Times New Roman" w:hAnsi="Times New Roman" w:eastAsia="等线"/>
          <w:kern w:val="0"/>
          <w:sz w:val="22"/>
        </w:rPr>
        <w:tab/>
      </w:r>
      <w:r>
        <w:rPr>
          <w:rFonts w:ascii="Times New Roman" w:hAnsi="Times New Roman" w:eastAsia="等线"/>
          <w:kern w:val="0"/>
          <w:sz w:val="22"/>
        </w:rPr>
        <w:t xml:space="preserve">These </w:t>
      </w:r>
      <w:r>
        <w:rPr>
          <w:rFonts w:ascii="Times New Roman" w:hAnsi="Times New Roman" w:eastAsia="等线"/>
          <w:i/>
          <w:kern w:val="0"/>
          <w:sz w:val="22"/>
        </w:rPr>
        <w:t xml:space="preserve">Rules </w:t>
      </w:r>
      <w:r>
        <w:rPr>
          <w:rFonts w:ascii="Times New Roman" w:hAnsi="Times New Roman" w:eastAsia="等线"/>
          <w:kern w:val="0"/>
          <w:sz w:val="22"/>
        </w:rPr>
        <w:t>shall be effective as on</w:t>
      </w:r>
      <w:r>
        <w:rPr>
          <w:rFonts w:hint="eastAsia" w:ascii="Times New Roman" w:hAnsi="Times New Roman" w:eastAsia="等线"/>
          <w:kern w:val="0"/>
          <w:sz w:val="22"/>
          <w:lang w:val="en-US" w:eastAsia="zh-CN"/>
        </w:rPr>
        <w:t xml:space="preserve"> </w:t>
      </w:r>
      <w:r>
        <w:rPr>
          <w:rFonts w:hint="eastAsia" w:ascii="Times New Roman" w:hAnsi="Times New Roman" w:eastAsia="等线"/>
          <w:kern w:val="0"/>
          <w:sz w:val="22"/>
        </w:rPr>
        <w:t>October 20</w:t>
      </w:r>
      <w:r>
        <w:rPr>
          <w:rFonts w:hint="eastAsia" w:ascii="Times New Roman" w:hAnsi="Times New Roman" w:eastAsia="等线"/>
          <w:kern w:val="0"/>
          <w:sz w:val="22"/>
          <w:lang w:val="en-US" w:eastAsia="zh-CN"/>
        </w:rPr>
        <w:t xml:space="preserve">, </w:t>
      </w:r>
      <w:r>
        <w:rPr>
          <w:rFonts w:hint="eastAsia" w:ascii="Times New Roman" w:hAnsi="Times New Roman" w:eastAsia="等线"/>
          <w:kern w:val="0"/>
          <w:sz w:val="22"/>
        </w:rPr>
        <w:t>2026</w:t>
      </w:r>
      <w:r>
        <w:rPr>
          <w:rFonts w:ascii="Times New Roman" w:hAnsi="Times New Roman" w:eastAsia="等线"/>
          <w:kern w:val="0"/>
          <w:sz w:val="22"/>
        </w:rPr>
        <w:t>.</w:t>
      </w:r>
    </w:p>
    <w:p>
      <w:pPr>
        <w:widowControl/>
        <w:jc w:val="both"/>
        <w:rPr>
          <w:rFonts w:ascii="Times New Roman" w:hAnsi="Times New Roman" w:eastAsia="宋体" w:cs="Times New Roman"/>
          <w:color w:val="000000"/>
          <w:kern w:val="0"/>
          <w:sz w:val="24"/>
          <w:szCs w:val="24"/>
          <w:shd w:val="clear" w:color="auto" w:fill="FFFFFF"/>
          <w:lang w:bidi="ar"/>
        </w:rPr>
      </w:pPr>
    </w:p>
    <w:p>
      <w:pPr>
        <w:widowControl/>
        <w:snapToGrid w:val="0"/>
        <w:spacing w:line="256" w:lineRule="auto"/>
        <w:rPr>
          <w:rFonts w:ascii="Times New Roman" w:hAnsi="Times New Roman" w:eastAsia="方正大标宋简体" w:cs="Times New Roman"/>
          <w:sz w:val="30"/>
          <w:szCs w:val="30"/>
        </w:rPr>
      </w:pPr>
    </w:p>
    <w:p>
      <w:pPr>
        <w:widowControl/>
        <w:snapToGrid w:val="0"/>
        <w:spacing w:after="240" w:afterLines="100" w:line="276" w:lineRule="auto"/>
        <w:jc w:val="left"/>
        <w:rPr>
          <w:rFonts w:ascii="Times New Roman" w:hAnsi="Times New Roman" w:eastAsia="宋体" w:cs="Times New Roman"/>
          <w:kern w:val="0"/>
          <w:sz w:val="22"/>
        </w:rPr>
      </w:pPr>
    </w:p>
    <w:p>
      <w:pPr>
        <w:widowControl/>
        <w:snapToGrid w:val="0"/>
        <w:spacing w:after="240" w:afterLines="100" w:line="276" w:lineRule="auto"/>
        <w:jc w:val="left"/>
        <w:rPr>
          <w:rFonts w:ascii="Times New Roman" w:hAnsi="Times New Roman" w:eastAsia="宋体" w:cs="Times New Roman"/>
          <w:kern w:val="0"/>
          <w:sz w:val="30"/>
          <w:szCs w:val="30"/>
        </w:rPr>
      </w:pPr>
    </w:p>
    <w:sectPr>
      <w:headerReference r:id="rId3" w:type="default"/>
      <w:footerReference r:id="rId4" w:type="default"/>
      <w:pgSz w:w="11906" w:h="16838"/>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方正大标宋简体">
    <w:panose1 w:val="02000000000000000000"/>
    <w:charset w:val="86"/>
    <w:family w:val="script"/>
    <w:pitch w:val="default"/>
    <w:sig w:usb0="00000001" w:usb1="08000000" w:usb2="00000000" w:usb3="00000000" w:csb0="00040000" w:csb1="00000000"/>
  </w:font>
  <w:font w:name="等线">
    <w:altName w:val="华文中宋"/>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ind w:right="360"/>
      <w:jc w:val="right"/>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513142"/>
    <w:multiLevelType w:val="multilevel"/>
    <w:tmpl w:val="05513142"/>
    <w:lvl w:ilvl="0" w:tentative="0">
      <w:start w:val="1"/>
      <w:numFmt w:val="decimal"/>
      <w:lvlText w:val="(%1)"/>
      <w:lvlJc w:val="left"/>
      <w:pPr>
        <w:ind w:left="1928" w:hanging="510"/>
      </w:pPr>
      <w:rPr>
        <w:rFonts w:hint="default"/>
      </w:rPr>
    </w:lvl>
    <w:lvl w:ilvl="1" w:tentative="0">
      <w:start w:val="1"/>
      <w:numFmt w:val="lowerLetter"/>
      <w:lvlText w:val="%2)"/>
      <w:lvlJc w:val="left"/>
      <w:pPr>
        <w:ind w:left="2258" w:hanging="420"/>
      </w:pPr>
    </w:lvl>
    <w:lvl w:ilvl="2" w:tentative="0">
      <w:start w:val="1"/>
      <w:numFmt w:val="lowerRoman"/>
      <w:lvlText w:val="%3."/>
      <w:lvlJc w:val="right"/>
      <w:pPr>
        <w:ind w:left="2678" w:hanging="420"/>
      </w:pPr>
    </w:lvl>
    <w:lvl w:ilvl="3" w:tentative="0">
      <w:start w:val="1"/>
      <w:numFmt w:val="decimal"/>
      <w:lvlText w:val="%4."/>
      <w:lvlJc w:val="left"/>
      <w:pPr>
        <w:ind w:left="3098" w:hanging="420"/>
      </w:pPr>
    </w:lvl>
    <w:lvl w:ilvl="4" w:tentative="0">
      <w:start w:val="1"/>
      <w:numFmt w:val="lowerLetter"/>
      <w:lvlText w:val="%5)"/>
      <w:lvlJc w:val="left"/>
      <w:pPr>
        <w:ind w:left="3518" w:hanging="420"/>
      </w:pPr>
    </w:lvl>
    <w:lvl w:ilvl="5" w:tentative="0">
      <w:start w:val="1"/>
      <w:numFmt w:val="lowerRoman"/>
      <w:lvlText w:val="%6."/>
      <w:lvlJc w:val="right"/>
      <w:pPr>
        <w:ind w:left="3938" w:hanging="420"/>
      </w:pPr>
    </w:lvl>
    <w:lvl w:ilvl="6" w:tentative="0">
      <w:start w:val="1"/>
      <w:numFmt w:val="decimal"/>
      <w:lvlText w:val="%7."/>
      <w:lvlJc w:val="left"/>
      <w:pPr>
        <w:ind w:left="4358" w:hanging="420"/>
      </w:pPr>
    </w:lvl>
    <w:lvl w:ilvl="7" w:tentative="0">
      <w:start w:val="1"/>
      <w:numFmt w:val="lowerLetter"/>
      <w:lvlText w:val="%8)"/>
      <w:lvlJc w:val="left"/>
      <w:pPr>
        <w:ind w:left="4778" w:hanging="420"/>
      </w:pPr>
    </w:lvl>
    <w:lvl w:ilvl="8" w:tentative="0">
      <w:start w:val="1"/>
      <w:numFmt w:val="lowerRoman"/>
      <w:lvlText w:val="%9."/>
      <w:lvlJc w:val="right"/>
      <w:pPr>
        <w:ind w:left="5198" w:hanging="420"/>
      </w:pPr>
    </w:lvl>
  </w:abstractNum>
  <w:abstractNum w:abstractNumId="1">
    <w:nsid w:val="43DC143F"/>
    <w:multiLevelType w:val="multilevel"/>
    <w:tmpl w:val="43DC143F"/>
    <w:lvl w:ilvl="0" w:tentative="0">
      <w:start w:val="1"/>
      <w:numFmt w:val="decimal"/>
      <w:lvlText w:val="(%1)"/>
      <w:lvlJc w:val="left"/>
      <w:pPr>
        <w:ind w:left="72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6712567"/>
    <w:multiLevelType w:val="multilevel"/>
    <w:tmpl w:val="4671256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632E1"/>
    <w:rsid w:val="00377192"/>
    <w:rsid w:val="003C0D85"/>
    <w:rsid w:val="003F109B"/>
    <w:rsid w:val="003F50E5"/>
    <w:rsid w:val="00426ECC"/>
    <w:rsid w:val="00515DFE"/>
    <w:rsid w:val="00566D2D"/>
    <w:rsid w:val="005B79D5"/>
    <w:rsid w:val="00764CF7"/>
    <w:rsid w:val="0077306E"/>
    <w:rsid w:val="00785667"/>
    <w:rsid w:val="007A4F4F"/>
    <w:rsid w:val="008370DC"/>
    <w:rsid w:val="00857215"/>
    <w:rsid w:val="0086407D"/>
    <w:rsid w:val="00884DAF"/>
    <w:rsid w:val="00894BF3"/>
    <w:rsid w:val="0095731A"/>
    <w:rsid w:val="00991787"/>
    <w:rsid w:val="009C63D4"/>
    <w:rsid w:val="00AF1373"/>
    <w:rsid w:val="00B11779"/>
    <w:rsid w:val="00B247E4"/>
    <w:rsid w:val="00B45C2E"/>
    <w:rsid w:val="00BF2BF2"/>
    <w:rsid w:val="00C00DD9"/>
    <w:rsid w:val="00C43169"/>
    <w:rsid w:val="00C85448"/>
    <w:rsid w:val="00C91136"/>
    <w:rsid w:val="00CE02C2"/>
    <w:rsid w:val="00D845C3"/>
    <w:rsid w:val="00DE2479"/>
    <w:rsid w:val="00F21C76"/>
    <w:rsid w:val="1EBD4440"/>
    <w:rsid w:val="26EFE514"/>
    <w:rsid w:val="327FBF7E"/>
    <w:rsid w:val="385E52C5"/>
    <w:rsid w:val="399ABD36"/>
    <w:rsid w:val="3FFCF2D3"/>
    <w:rsid w:val="48FD4578"/>
    <w:rsid w:val="633F4928"/>
    <w:rsid w:val="67EEF807"/>
    <w:rsid w:val="74FF9832"/>
    <w:rsid w:val="79DF079B"/>
    <w:rsid w:val="7BFFD199"/>
    <w:rsid w:val="7DFD7705"/>
    <w:rsid w:val="7EF95531"/>
    <w:rsid w:val="7F775DAF"/>
    <w:rsid w:val="7FDF6284"/>
    <w:rsid w:val="7FE314AC"/>
    <w:rsid w:val="7FFFEAEE"/>
    <w:rsid w:val="9FDBEBE2"/>
    <w:rsid w:val="AD9AB98C"/>
    <w:rsid w:val="AFF9638B"/>
    <w:rsid w:val="BB2D4155"/>
    <w:rsid w:val="BFFDACC6"/>
    <w:rsid w:val="CFBEB38C"/>
    <w:rsid w:val="CFD04C2C"/>
    <w:rsid w:val="E5C70A53"/>
    <w:rsid w:val="EDBE215C"/>
    <w:rsid w:val="EEE772E8"/>
    <w:rsid w:val="EEFFD7F9"/>
    <w:rsid w:val="EFE780B0"/>
    <w:rsid w:val="F7FDF6F0"/>
    <w:rsid w:val="FB7B8D32"/>
    <w:rsid w:val="FBB75F01"/>
    <w:rsid w:val="FFEE8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footer"/>
    <w:basedOn w:val="1"/>
    <w:link w:val="13"/>
    <w:unhideWhenUsed/>
    <w:qFormat/>
    <w:uiPriority w:val="99"/>
    <w:pPr>
      <w:tabs>
        <w:tab w:val="center" w:pos="4153"/>
        <w:tab w:val="right" w:pos="8306"/>
      </w:tabs>
      <w:snapToGrid w:val="0"/>
      <w:jc w:val="left"/>
    </w:pPr>
    <w:rPr>
      <w:rFonts w:ascii="Calibri" w:hAnsi="Calibri" w:eastAsia="宋体" w:cs="Times New Roman"/>
      <w:sz w:val="18"/>
      <w:szCs w:val="18"/>
      <w:lang w:val="zh-CN"/>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8">
    <w:name w:val="page number"/>
    <w:qFormat/>
    <w:uiPriority w:val="0"/>
  </w:style>
  <w:style w:type="character" w:customStyle="1" w:styleId="9">
    <w:name w:val="日期 字符"/>
    <w:basedOn w:val="7"/>
    <w:link w:val="2"/>
    <w:semiHidden/>
    <w:qFormat/>
    <w:uiPriority w:val="99"/>
  </w:style>
  <w:style w:type="character" w:customStyle="1" w:styleId="10">
    <w:name w:val="页眉 字符"/>
    <w:basedOn w:val="7"/>
    <w:semiHidden/>
    <w:qFormat/>
    <w:uiPriority w:val="99"/>
    <w:rPr>
      <w:sz w:val="18"/>
      <w:szCs w:val="18"/>
    </w:rPr>
  </w:style>
  <w:style w:type="character" w:customStyle="1" w:styleId="11">
    <w:name w:val="页眉 字符1"/>
    <w:link w:val="4"/>
    <w:qFormat/>
    <w:uiPriority w:val="99"/>
    <w:rPr>
      <w:rFonts w:ascii="Calibri" w:hAnsi="Calibri" w:eastAsia="宋体" w:cs="Times New Roman"/>
      <w:sz w:val="18"/>
      <w:szCs w:val="18"/>
      <w:lang w:val="zh-CN" w:eastAsia="zh-CN"/>
    </w:rPr>
  </w:style>
  <w:style w:type="character" w:customStyle="1" w:styleId="12">
    <w:name w:val="页脚 字符"/>
    <w:basedOn w:val="7"/>
    <w:semiHidden/>
    <w:qFormat/>
    <w:uiPriority w:val="99"/>
    <w:rPr>
      <w:sz w:val="18"/>
      <w:szCs w:val="18"/>
    </w:rPr>
  </w:style>
  <w:style w:type="character" w:customStyle="1" w:styleId="13">
    <w:name w:val="页脚 字符1"/>
    <w:link w:val="3"/>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F1F49D1E-0F55-47CE-A4A3-5E33023695F9}">
  <ds:schemaRefs/>
</ds:datastoreItem>
</file>

<file path=docProps/app.xml><?xml version="1.0" encoding="utf-8"?>
<Properties xmlns="http://schemas.openxmlformats.org/officeDocument/2006/extended-properties" xmlns:vt="http://schemas.openxmlformats.org/officeDocument/2006/docPropsVTypes">
  <Template>Normal</Template>
  <Pages>5</Pages>
  <Words>304</Words>
  <Characters>1733</Characters>
  <Lines>14</Lines>
  <Paragraphs>4</Paragraphs>
  <TotalTime>4</TotalTime>
  <ScaleCrop>false</ScaleCrop>
  <LinksUpToDate>false</LinksUpToDate>
  <CharactersWithSpaces>2033</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2024-05-14T03:23:00Z</dcterms:created>
  <dc:creator>孙欣鹏</dc:creator>
  <cp:lastModifiedBy>wang.bihui</cp:lastModifiedBy>
  <cp:lastPrinted>2026-09-18T16:43:00Z</cp:lastPrinted>
  <dcterms:modified xsi:type="dcterms:W3CDTF">2026-09-29T10:27:57Z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62F6B45936F55BDAD41D956A41EC86E4</vt:lpwstr>
  </property>
</Properties>
</file>