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7FC" w:rsidRPr="003B4E55" w:rsidRDefault="00CD5280">
      <w:pPr>
        <w:snapToGrid w:val="0"/>
        <w:spacing w:afterLines="50" w:after="120"/>
        <w:jc w:val="center"/>
        <w:rPr>
          <w:b/>
          <w:bCs/>
          <w:sz w:val="28"/>
          <w:szCs w:val="28"/>
        </w:rPr>
      </w:pPr>
      <w:r w:rsidRPr="003B4E55">
        <w:rPr>
          <w:b/>
          <w:bCs/>
          <w:sz w:val="28"/>
          <w:szCs w:val="28"/>
        </w:rPr>
        <w:t>SHANGHAI FUTURES EXCHANGE</w:t>
      </w:r>
    </w:p>
    <w:p w:rsidR="003E17FC" w:rsidRPr="003B4E55" w:rsidRDefault="00CD5280">
      <w:pPr>
        <w:pStyle w:val="1"/>
      </w:pPr>
      <w:r w:rsidRPr="003B4E55">
        <w:t>GUIDELINES ON SELLER-TO-BUYER VAT INVOICING</w:t>
      </w:r>
    </w:p>
    <w:p w:rsidR="003E17FC" w:rsidRDefault="00CD5280">
      <w:pPr>
        <w:snapToGrid w:val="0"/>
        <w:spacing w:afterLines="100" w:after="240"/>
        <w:jc w:val="center"/>
      </w:pPr>
      <w:r>
        <w:t>(</w:t>
      </w:r>
      <w:r w:rsidR="003B4E55" w:rsidRPr="003B4E55">
        <w:t>January</w:t>
      </w:r>
      <w:r w:rsidR="003B4E55">
        <w:rPr>
          <w:rFonts w:hint="eastAsia"/>
        </w:rPr>
        <w:t>,</w:t>
      </w:r>
      <w:r>
        <w:t>2027)</w:t>
      </w:r>
    </w:p>
    <w:p w:rsidR="003E17FC" w:rsidRDefault="003E17FC">
      <w:pPr>
        <w:snapToGrid w:val="0"/>
        <w:spacing w:afterLines="100" w:after="240"/>
      </w:pPr>
    </w:p>
    <w:p w:rsidR="003E17FC" w:rsidRDefault="00CD5280">
      <w:pPr>
        <w:pStyle w:val="2"/>
      </w:pPr>
      <w:r>
        <w:t>CHAPTER 1</w:t>
      </w:r>
      <w:r>
        <w:tab/>
        <w:t>GENERAL PROVISIONS</w:t>
      </w:r>
    </w:p>
    <w:p w:rsidR="003E17FC" w:rsidRDefault="00CD5280">
      <w:pPr>
        <w:snapToGrid w:val="0"/>
        <w:spacing w:afterLines="100" w:after="240"/>
      </w:pPr>
      <w:r>
        <w:rPr>
          <w:b/>
          <w:bCs/>
        </w:rPr>
        <w:t>Article 1</w:t>
      </w:r>
      <w:r>
        <w:tab/>
        <w:t xml:space="preserve">These </w:t>
      </w:r>
      <w:r>
        <w:rPr>
          <w:i/>
          <w:iCs/>
        </w:rPr>
        <w:t>Guidelines</w:t>
      </w:r>
      <w:r>
        <w:t xml:space="preserve"> are made in accordance with rules including the </w:t>
      </w:r>
      <w:r>
        <w:rPr>
          <w:i/>
          <w:iCs/>
        </w:rPr>
        <w:t>General Clearing Rules of the Shanghai Futures Exchange</w:t>
      </w:r>
      <w:r>
        <w:t xml:space="preserve">, </w:t>
      </w:r>
      <w:r>
        <w:rPr>
          <w:i/>
          <w:iCs/>
        </w:rPr>
        <w:t>Clearing Rules of the Shanghai Futures Exchange</w:t>
      </w:r>
      <w:r>
        <w:t xml:space="preserve">, </w:t>
      </w:r>
      <w:r>
        <w:rPr>
          <w:i/>
          <w:iCs/>
        </w:rPr>
        <w:t>Delivery Rules of the Shanghai Futures Exchange</w:t>
      </w:r>
      <w:r>
        <w:t>, and various product rules to strengthen the management of seller-to-buyer VAT invoicing at the Shanghai Futures Exchange (“</w:t>
      </w:r>
      <w:r>
        <w:rPr>
          <w:b/>
          <w:bCs/>
        </w:rPr>
        <w:t>Exchange</w:t>
      </w:r>
      <w:r>
        <w:t>”).</w:t>
      </w:r>
    </w:p>
    <w:p w:rsidR="003E17FC" w:rsidRDefault="00CD5280">
      <w:pPr>
        <w:snapToGrid w:val="0"/>
        <w:spacing w:afterLines="100" w:after="240"/>
      </w:pPr>
      <w:r>
        <w:rPr>
          <w:b/>
          <w:bCs/>
        </w:rPr>
        <w:t>Article 2</w:t>
      </w:r>
      <w:r>
        <w:tab/>
        <w:t>“Seller-to-buyer VAT invoicing” refers to the issuance of special value-added tax invoices (“</w:t>
      </w:r>
      <w:r w:rsidRPr="001A790A">
        <w:rPr>
          <w:b/>
          <w:bCs/>
        </w:rPr>
        <w:t>VAT invoices</w:t>
      </w:r>
      <w:r>
        <w:t>”) by a selling Client or Non-FF Member to a buying Client or Non-FF Member. A VAT invoice and the specific information required for its issuance (“</w:t>
      </w:r>
      <w:bookmarkStart w:id="0" w:name="OLE_LINK1"/>
      <w:r>
        <w:rPr>
          <w:b/>
          <w:bCs/>
        </w:rPr>
        <w:t>VAT invoicing information</w:t>
      </w:r>
      <w:bookmarkEnd w:id="0"/>
      <w:r>
        <w:t>”) shall be verified, transmitted, and confirmed by the carrying Members of the buying and selling Clients. The carrying Members shall be responsible for mediating and resolving any related disputes.</w:t>
      </w:r>
    </w:p>
    <w:p w:rsidR="003E17FC" w:rsidRDefault="00CD5280">
      <w:pPr>
        <w:snapToGrid w:val="0"/>
        <w:spacing w:afterLines="100" w:after="240"/>
      </w:pPr>
      <w:r>
        <w:rPr>
          <w:b/>
          <w:bCs/>
        </w:rPr>
        <w:t>Article 3</w:t>
      </w:r>
      <w:r>
        <w:tab/>
        <w:t xml:space="preserve">These </w:t>
      </w:r>
      <w:r>
        <w:rPr>
          <w:i/>
          <w:iCs/>
        </w:rPr>
        <w:t>Guidelines</w:t>
      </w:r>
      <w:r>
        <w:t xml:space="preserve"> apply to the Exchange’s seller-to-buyer invoicing. The Exchange, Members, and Clients shall abide by these </w:t>
      </w:r>
      <w:r>
        <w:rPr>
          <w:i/>
          <w:iCs/>
        </w:rPr>
        <w:t>Guidelines</w:t>
      </w:r>
      <w:r>
        <w:t>.</w:t>
      </w:r>
    </w:p>
    <w:p w:rsidR="003E17FC" w:rsidRDefault="00CD5280">
      <w:pPr>
        <w:pStyle w:val="2"/>
      </w:pPr>
      <w:r>
        <w:t>CHAPTER 2</w:t>
      </w:r>
      <w:r>
        <w:tab/>
        <w:t>SELLER-TO-BUYER VAT INVOICING FOR DELIVERY AT CONTRACT EXPIRATION</w:t>
      </w:r>
    </w:p>
    <w:p w:rsidR="003E17FC" w:rsidRDefault="00CD5280">
      <w:pPr>
        <w:snapToGrid w:val="0"/>
        <w:spacing w:afterLines="100" w:after="240"/>
      </w:pPr>
      <w:r>
        <w:rPr>
          <w:b/>
          <w:bCs/>
        </w:rPr>
        <w:t xml:space="preserve">Article </w:t>
      </w:r>
      <w:r>
        <w:rPr>
          <w:rFonts w:hint="eastAsia"/>
          <w:b/>
          <w:bCs/>
        </w:rPr>
        <w:t>4</w:t>
      </w:r>
      <w:r>
        <w:tab/>
        <w:t>Any buying Client or Non-FF Member that participates in delivery at contract expiration shall enter and maintain VAT invoicing information in the Exchange’s Standard Warrant Management System (“</w:t>
      </w:r>
      <w:r>
        <w:rPr>
          <w:b/>
          <w:bCs/>
        </w:rPr>
        <w:t>Warrant System</w:t>
      </w:r>
      <w:r>
        <w:t>”). A Client may request its Member to enter and maintain such information on its behalf. A buyer’s Member shall inform the buyer to enter and maintain its VAT invoicing information in the Warrant System in advance.</w:t>
      </w:r>
    </w:p>
    <w:p w:rsidR="003E17FC" w:rsidRDefault="00CD5280">
      <w:pPr>
        <w:snapToGrid w:val="0"/>
        <w:spacing w:afterLines="100" w:after="240"/>
      </w:pPr>
      <w:r>
        <w:rPr>
          <w:b/>
          <w:bCs/>
        </w:rPr>
        <w:t xml:space="preserve">Article </w:t>
      </w:r>
      <w:r>
        <w:rPr>
          <w:rFonts w:hint="eastAsia"/>
          <w:b/>
          <w:bCs/>
        </w:rPr>
        <w:t>5</w:t>
      </w:r>
      <w:r>
        <w:tab/>
        <w:t>A buyer’s Member shall provide VAT invoicing information to the seller’s Member no later than the second delivery day.</w:t>
      </w:r>
    </w:p>
    <w:p w:rsidR="003E17FC" w:rsidRDefault="00CD5280">
      <w:pPr>
        <w:snapToGrid w:val="0"/>
        <w:spacing w:afterLines="100" w:after="240"/>
      </w:pPr>
      <w:r>
        <w:rPr>
          <w:b/>
          <w:bCs/>
        </w:rPr>
        <w:t xml:space="preserve">Article </w:t>
      </w:r>
      <w:r>
        <w:rPr>
          <w:rFonts w:hint="eastAsia"/>
          <w:b/>
          <w:bCs/>
        </w:rPr>
        <w:t>6</w:t>
      </w:r>
      <w:r>
        <w:tab/>
        <w:t>A buyer’s Member shall provide VAT invoicing information to the seller’s Member in the Warrant System. After the close of trading on the last trading day, the buyer’s Member shall confirm in the Warrant System the accuracy of the buyer’s VAT invoicing information. Any buyer’s Member that is unable to provide VAT invoicing information in the Warrant System shall report its reasons to the Exchange.</w:t>
      </w:r>
    </w:p>
    <w:p w:rsidR="003E17FC" w:rsidRDefault="00CD5280">
      <w:pPr>
        <w:snapToGrid w:val="0"/>
        <w:spacing w:afterLines="100" w:after="240"/>
      </w:pPr>
      <w:r>
        <w:rPr>
          <w:rFonts w:hint="eastAsia"/>
        </w:rPr>
        <w:t>T</w:t>
      </w:r>
      <w:r>
        <w:t xml:space="preserve">he seller’s Member shall </w:t>
      </w:r>
      <w:r>
        <w:rPr>
          <w:rFonts w:hint="eastAsia"/>
        </w:rPr>
        <w:t xml:space="preserve">confirm the </w:t>
      </w:r>
      <w:r>
        <w:t xml:space="preserve">VAT invoicing information </w:t>
      </w:r>
      <w:r>
        <w:rPr>
          <w:rFonts w:hint="eastAsia"/>
        </w:rPr>
        <w:t xml:space="preserve">received by it through </w:t>
      </w:r>
      <w:r>
        <w:t>the Warrant System. If the VAT invoicing information is inaccurate, the buying and selling Members may contact each other to resolve the issue. Following such confirmation, the selling Client may query the buying Client’s VAT invoicing information in the Warrant System.</w:t>
      </w:r>
    </w:p>
    <w:p w:rsidR="003E17FC" w:rsidRDefault="00CD5280">
      <w:pPr>
        <w:snapToGrid w:val="0"/>
        <w:spacing w:afterLines="100" w:after="240"/>
      </w:pPr>
      <w:r>
        <w:rPr>
          <w:b/>
          <w:bCs/>
        </w:rPr>
        <w:lastRenderedPageBreak/>
        <w:t xml:space="preserve">Article </w:t>
      </w:r>
      <w:r>
        <w:rPr>
          <w:rFonts w:hint="eastAsia"/>
          <w:b/>
          <w:bCs/>
        </w:rPr>
        <w:t>7</w:t>
      </w:r>
      <w:r>
        <w:tab/>
        <w:t xml:space="preserve">A selling Client or Non-FF Member that participates in delivery at contract expiration shall hold the requisite qualifications to issue VAT invoices. A seller’s Member shall </w:t>
      </w:r>
      <w:r>
        <w:rPr>
          <w:rFonts w:hint="eastAsia"/>
        </w:rPr>
        <w:t>rigorous</w:t>
      </w:r>
      <w:r>
        <w:t>ly review the selling Client’s VAT invoicing qualifications.</w:t>
      </w:r>
    </w:p>
    <w:p w:rsidR="003E17FC" w:rsidRDefault="00CD5280">
      <w:pPr>
        <w:snapToGrid w:val="0"/>
        <w:spacing w:afterLines="100" w:after="240"/>
      </w:pPr>
      <w:r>
        <w:t>A seller’s Member shall deliver VAT invoice</w:t>
      </w:r>
      <w:r>
        <w:rPr>
          <w:rFonts w:hint="eastAsia"/>
        </w:rPr>
        <w:t>s</w:t>
      </w:r>
      <w:r>
        <w:t xml:space="preserve"> to the buyer’s Member no later than the seventh business day after the last trading day.</w:t>
      </w:r>
    </w:p>
    <w:p w:rsidR="003E17FC" w:rsidRDefault="00CD5280">
      <w:pPr>
        <w:snapToGrid w:val="0"/>
        <w:spacing w:afterLines="100" w:after="240"/>
      </w:pPr>
      <w:r>
        <w:rPr>
          <w:b/>
          <w:bCs/>
        </w:rPr>
        <w:t xml:space="preserve">Article </w:t>
      </w:r>
      <w:r>
        <w:rPr>
          <w:rFonts w:hint="eastAsia"/>
          <w:b/>
          <w:bCs/>
        </w:rPr>
        <w:t>8</w:t>
      </w:r>
      <w:r>
        <w:tab/>
        <w:t>A Member shall transmit VAT invoices by itself.</w:t>
      </w:r>
    </w:p>
    <w:p w:rsidR="003E17FC" w:rsidRDefault="00CD5280">
      <w:pPr>
        <w:snapToGrid w:val="0"/>
        <w:spacing w:afterLines="100" w:after="240"/>
      </w:pPr>
      <w:r>
        <w:rPr>
          <w:b/>
          <w:bCs/>
        </w:rPr>
        <w:t xml:space="preserve">Article </w:t>
      </w:r>
      <w:r>
        <w:rPr>
          <w:rFonts w:hint="eastAsia"/>
          <w:b/>
          <w:bCs/>
        </w:rPr>
        <w:t>9</w:t>
      </w:r>
      <w:r>
        <w:tab/>
        <w:t xml:space="preserve">A buyer’s Member shall confirm a VAT invoice </w:t>
      </w:r>
      <w:r>
        <w:rPr>
          <w:rFonts w:hint="eastAsia"/>
        </w:rPr>
        <w:t>by</w:t>
      </w:r>
      <w:r>
        <w:t xml:space="preserve"> the business day after the </w:t>
      </w:r>
      <w:r>
        <w:rPr>
          <w:rFonts w:hint="eastAsia"/>
        </w:rPr>
        <w:t>date of receipt</w:t>
      </w:r>
      <w:r>
        <w:t xml:space="preserve"> and inform the seller’s Member of the outcome.</w:t>
      </w:r>
    </w:p>
    <w:p w:rsidR="003E17FC" w:rsidRDefault="00CD5280">
      <w:pPr>
        <w:snapToGrid w:val="0"/>
        <w:spacing w:afterLines="100" w:after="240"/>
      </w:pPr>
      <w:r>
        <w:rPr>
          <w:b/>
          <w:bCs/>
        </w:rPr>
        <w:t>Article 1</w:t>
      </w:r>
      <w:r>
        <w:rPr>
          <w:rFonts w:hint="eastAsia"/>
          <w:b/>
          <w:bCs/>
        </w:rPr>
        <w:t>0</w:t>
      </w:r>
      <w:r>
        <w:tab/>
        <w:t>The product tax classification code and product name on the VAT invoice shall be jointly determined by the buyer and the seller in accordance with the regulations of tax authorities.</w:t>
      </w:r>
    </w:p>
    <w:p w:rsidR="003E17FC" w:rsidRDefault="00CD5280">
      <w:pPr>
        <w:snapToGrid w:val="0"/>
        <w:spacing w:afterLines="100" w:after="240"/>
      </w:pPr>
      <w:r>
        <w:rPr>
          <w:b/>
          <w:bCs/>
        </w:rPr>
        <w:t>Article 1</w:t>
      </w:r>
      <w:r>
        <w:rPr>
          <w:rFonts w:hint="eastAsia"/>
          <w:b/>
          <w:bCs/>
        </w:rPr>
        <w:t>1</w:t>
      </w:r>
      <w:r>
        <w:tab/>
        <w:t xml:space="preserve">If the seller’s Member fails to deliver the VAT invoice </w:t>
      </w:r>
      <w:r>
        <w:rPr>
          <w:rFonts w:hint="eastAsia"/>
        </w:rPr>
        <w:t>before</w:t>
      </w:r>
      <w:r>
        <w:t xml:space="preserve"> 2:00 p.m. on the second delivery day, the Exchange will</w:t>
      </w:r>
      <w:r>
        <w:rPr>
          <w:rFonts w:hint="eastAsia"/>
        </w:rPr>
        <w:t xml:space="preserve">, on that day, collect a deposit for the positions to be delivered of no less than 15% of the position value, calculated at the final settlement price of the relevant contract. </w:t>
      </w:r>
      <w:r>
        <w:t xml:space="preserve">This </w:t>
      </w:r>
      <w:r>
        <w:rPr>
          <w:rFonts w:hint="eastAsia"/>
        </w:rPr>
        <w:t>deposit</w:t>
      </w:r>
      <w:r>
        <w:t xml:space="preserve"> will be re</w:t>
      </w:r>
      <w:r>
        <w:rPr>
          <w:rFonts w:hint="eastAsia"/>
        </w:rPr>
        <w:t>funded</w:t>
      </w:r>
      <w:r>
        <w:t xml:space="preserve"> </w:t>
      </w:r>
      <w:r>
        <w:rPr>
          <w:rFonts w:hint="eastAsia"/>
        </w:rPr>
        <w:t>after</w:t>
      </w:r>
      <w:r>
        <w:t xml:space="preserve"> </w:t>
      </w:r>
      <w:r>
        <w:rPr>
          <w:rFonts w:hint="eastAsia"/>
        </w:rPr>
        <w:t>both the buyer and the seller have completed the procedures for the VAT invoice, upon their Members</w:t>
      </w:r>
      <w:r>
        <w:t>’</w:t>
      </w:r>
      <w:r>
        <w:rPr>
          <w:rFonts w:hint="eastAsia"/>
        </w:rPr>
        <w:t xml:space="preserve"> request and</w:t>
      </w:r>
      <w:r w:rsidR="006A7B76">
        <w:t xml:space="preserve"> </w:t>
      </w:r>
      <w:r>
        <w:rPr>
          <w:rFonts w:hint="eastAsia"/>
        </w:rPr>
        <w:t>confirmation.</w:t>
      </w:r>
    </w:p>
    <w:p w:rsidR="003E17FC" w:rsidRDefault="00CD5280">
      <w:pPr>
        <w:snapToGrid w:val="0"/>
        <w:spacing w:afterLines="100" w:after="240"/>
      </w:pPr>
      <w:r>
        <w:rPr>
          <w:b/>
          <w:bCs/>
        </w:rPr>
        <w:t>Article 1</w:t>
      </w:r>
      <w:r>
        <w:rPr>
          <w:rFonts w:hint="eastAsia"/>
          <w:b/>
          <w:bCs/>
        </w:rPr>
        <w:t>2</w:t>
      </w:r>
      <w:r>
        <w:tab/>
        <w:t xml:space="preserve">Upon </w:t>
      </w:r>
      <w:r>
        <w:rPr>
          <w:rFonts w:hint="eastAsia"/>
        </w:rPr>
        <w:t>issuance</w:t>
      </w:r>
      <w:r>
        <w:t xml:space="preserve"> of the VAT invoic</w:t>
      </w:r>
      <w:r>
        <w:rPr>
          <w:rFonts w:hint="eastAsia"/>
        </w:rPr>
        <w:t>e</w:t>
      </w:r>
      <w:r>
        <w:t xml:space="preserve">, the seller’s Member and the buyer’s Member shall confirm in the Warrant System that the </w:t>
      </w:r>
      <w:r>
        <w:rPr>
          <w:rFonts w:hint="eastAsia"/>
        </w:rPr>
        <w:t xml:space="preserve">issuance </w:t>
      </w:r>
      <w:r>
        <w:t xml:space="preserve">have been completed, and either request or confirm the exemption or refund of the corresponding </w:t>
      </w:r>
      <w:r>
        <w:rPr>
          <w:rFonts w:hint="eastAsia"/>
        </w:rPr>
        <w:t>deposit</w:t>
      </w:r>
      <w:r>
        <w:t>.</w:t>
      </w:r>
    </w:p>
    <w:p w:rsidR="003E17FC" w:rsidRDefault="00CD5280">
      <w:pPr>
        <w:snapToGrid w:val="0"/>
        <w:spacing w:afterLines="100" w:after="240"/>
      </w:pPr>
      <w:r>
        <w:t xml:space="preserve">Where the seller’s Member sends a request to the buyer’s Member in the Warrant System for the exemption or refund of the corresponding </w:t>
      </w:r>
      <w:r>
        <w:rPr>
          <w:rFonts w:hint="eastAsia"/>
        </w:rPr>
        <w:t>deposit</w:t>
      </w:r>
      <w:r>
        <w:t>, the buyer’s Member shall either confirm or reject it in the Warrant System within the business day after the day it receives the VAT invoice.</w:t>
      </w:r>
    </w:p>
    <w:p w:rsidR="003E17FC" w:rsidRDefault="00CD5280">
      <w:pPr>
        <w:snapToGrid w:val="0"/>
        <w:spacing w:afterLines="100" w:after="240"/>
      </w:pPr>
      <w:r>
        <w:t>If the buyer’s Member confirms the request before 2:00 p.m., the Exchange will process the margin for the seller’s Member during daily clearing on the same date; if the buyer’s Member confirms it after 2:00 p.m., the Exchange will do so at time of clearing on the following trading day.</w:t>
      </w:r>
    </w:p>
    <w:p w:rsidR="003E17FC" w:rsidRDefault="00CD5280">
      <w:pPr>
        <w:snapToGrid w:val="0"/>
        <w:spacing w:afterLines="100" w:after="240"/>
      </w:pPr>
      <w:r>
        <w:t xml:space="preserve">If the buyer’s Member rejects the request, it shall fill in its reasons in the Warrant System and the seller’s Member may send another request to the buyer’s Member in the Warrant System for the exemption or refund of the corresponding </w:t>
      </w:r>
      <w:r>
        <w:rPr>
          <w:rFonts w:hint="eastAsia"/>
        </w:rPr>
        <w:t>deposit</w:t>
      </w:r>
      <w:r>
        <w:t>.</w:t>
      </w:r>
    </w:p>
    <w:p w:rsidR="003E17FC" w:rsidRDefault="00CD5280">
      <w:pPr>
        <w:snapToGrid w:val="0"/>
        <w:spacing w:afterLines="100" w:after="240"/>
      </w:pPr>
      <w:r>
        <w:t xml:space="preserve">If both Members are unable to request or confirm the exemption or refund of the corresponding </w:t>
      </w:r>
      <w:r>
        <w:rPr>
          <w:rFonts w:hint="eastAsia"/>
        </w:rPr>
        <w:t>deposit</w:t>
      </w:r>
      <w:r>
        <w:t xml:space="preserve"> in the Warrant System, they shall report their reasons to the Exchange.</w:t>
      </w:r>
    </w:p>
    <w:p w:rsidR="003E17FC" w:rsidRDefault="00CD5280">
      <w:pPr>
        <w:snapToGrid w:val="0"/>
        <w:spacing w:afterLines="100" w:after="240"/>
      </w:pPr>
      <w:r>
        <w:rPr>
          <w:b/>
          <w:bCs/>
        </w:rPr>
        <w:t>Article 1</w:t>
      </w:r>
      <w:r>
        <w:rPr>
          <w:rFonts w:hint="eastAsia"/>
          <w:b/>
          <w:bCs/>
        </w:rPr>
        <w:t>3</w:t>
      </w:r>
      <w:r>
        <w:tab/>
      </w:r>
      <w:r>
        <w:rPr>
          <w:rFonts w:hint="eastAsia"/>
        </w:rPr>
        <w:t>Any seller</w:t>
      </w:r>
      <w:r>
        <w:t>’</w:t>
      </w:r>
      <w:r>
        <w:rPr>
          <w:rFonts w:hint="eastAsia"/>
        </w:rPr>
        <w:t xml:space="preserve">s Member that delays the delivery of the VAT invoice is subject to an overdue fine of 0.05% of the delivery payment for each day of delay between three (3) and ten (10) days, an overdue fine of 0.1% of the delivery payment for each day of delay between eleven (11) and thirty (30) days, and delay beyond thirty (30) days is deemed a non-delivery of </w:t>
      </w:r>
      <w:r w:rsidRPr="007808E5">
        <w:t>VAT invoice</w:t>
      </w:r>
      <w:r>
        <w:rPr>
          <w:rFonts w:hint="eastAsia"/>
        </w:rPr>
        <w:t xml:space="preserve"> and subject to liquidated damages of 15% of the delivery payment. Upon </w:t>
      </w:r>
      <w:r>
        <w:rPr>
          <w:rFonts w:hint="eastAsia"/>
        </w:rPr>
        <w:lastRenderedPageBreak/>
        <w:t>confirmation and request from both the buyer and the seller, the Exchange will collect the liquidated damages and overdue fine from the seller</w:t>
      </w:r>
      <w:r>
        <w:t>’</w:t>
      </w:r>
      <w:r>
        <w:rPr>
          <w:rFonts w:hint="eastAsia"/>
        </w:rPr>
        <w:t>s Member and transfer them to the buyer</w:t>
      </w:r>
      <w:r>
        <w:t>’</w:t>
      </w:r>
      <w:r>
        <w:rPr>
          <w:rFonts w:hint="eastAsia"/>
        </w:rPr>
        <w:t>s Member; if the buyer and seller have made other agreements, those agreements prevail.</w:t>
      </w:r>
    </w:p>
    <w:p w:rsidR="003E17FC" w:rsidRDefault="00CD5280">
      <w:pPr>
        <w:snapToGrid w:val="0"/>
        <w:spacing w:afterLines="100" w:after="240"/>
      </w:pPr>
      <w:r>
        <w:rPr>
          <w:b/>
          <w:bCs/>
        </w:rPr>
        <w:t>Article 1</w:t>
      </w:r>
      <w:r>
        <w:rPr>
          <w:rFonts w:hint="eastAsia"/>
          <w:b/>
          <w:bCs/>
        </w:rPr>
        <w:t>4</w:t>
      </w:r>
      <w:r>
        <w:tab/>
        <w:t>Any overdue fine or liquidated damages incurred during the VAT invoicing process are of such amount as confirmed by both the buyer and the seller and may be paid and collected by themselves. If settlement of overdue fine</w:t>
      </w:r>
      <w:r>
        <w:rPr>
          <w:rFonts w:hint="eastAsia"/>
        </w:rPr>
        <w:t>,</w:t>
      </w:r>
      <w:r>
        <w:t xml:space="preserve"> and liquidated damages through the Exchange is preferred, the buy</w:t>
      </w:r>
      <w:r>
        <w:rPr>
          <w:rFonts w:hint="eastAsia"/>
        </w:rPr>
        <w:t>ing</w:t>
      </w:r>
      <w:r>
        <w:t xml:space="preserve"> and sell</w:t>
      </w:r>
      <w:r>
        <w:rPr>
          <w:rFonts w:hint="eastAsia"/>
        </w:rPr>
        <w:t>ing Clients</w:t>
      </w:r>
      <w:r>
        <w:t xml:space="preserve"> and their Members shall submit written requests to the Exchange.</w:t>
      </w:r>
    </w:p>
    <w:p w:rsidR="003E17FC" w:rsidRDefault="00CD5280">
      <w:pPr>
        <w:snapToGrid w:val="0"/>
        <w:spacing w:afterLines="100" w:after="240"/>
      </w:pPr>
      <w:r>
        <w:rPr>
          <w:rFonts w:cs="Times New Roman"/>
          <w:b/>
          <w:bCs/>
        </w:rPr>
        <w:t>Article 1</w:t>
      </w:r>
      <w:r>
        <w:rPr>
          <w:rFonts w:cs="Times New Roman" w:hint="eastAsia"/>
          <w:b/>
          <w:bCs/>
        </w:rPr>
        <w:t>5</w:t>
      </w:r>
      <w:r>
        <w:rPr>
          <w:rFonts w:cs="Times New Roman"/>
        </w:rPr>
        <w:tab/>
      </w:r>
      <w:r>
        <w:t xml:space="preserve">A seller’s Member and the selling Client shall make proper arrangements regarding the collection and payment of </w:t>
      </w:r>
      <w:r>
        <w:rPr>
          <w:rFonts w:hint="eastAsia"/>
        </w:rPr>
        <w:t>deposit</w:t>
      </w:r>
      <w:r>
        <w:t xml:space="preserve">, overdue fine, and liquidated damages. </w:t>
      </w:r>
      <w:r>
        <w:rPr>
          <w:rFonts w:hint="eastAsia"/>
        </w:rPr>
        <w:t>The</w:t>
      </w:r>
      <w:r>
        <w:t xml:space="preserve"> seller’s Member is responsible for collecting </w:t>
      </w:r>
      <w:r>
        <w:rPr>
          <w:rFonts w:hint="eastAsia"/>
        </w:rPr>
        <w:t>deposit</w:t>
      </w:r>
      <w:r>
        <w:t xml:space="preserve"> from the selling Client. If the seller’s Member pays overdue fine and liquidated damages in advance, it is entitled to seek reimbursement from the selling Client.</w:t>
      </w:r>
    </w:p>
    <w:p w:rsidR="003E17FC" w:rsidRDefault="00CD5280">
      <w:pPr>
        <w:snapToGrid w:val="0"/>
        <w:spacing w:afterLines="100" w:after="240"/>
      </w:pPr>
      <w:r>
        <w:rPr>
          <w:b/>
          <w:bCs/>
        </w:rPr>
        <w:t>Article 1</w:t>
      </w:r>
      <w:r>
        <w:rPr>
          <w:rFonts w:hint="eastAsia"/>
          <w:b/>
          <w:bCs/>
        </w:rPr>
        <w:t>6</w:t>
      </w:r>
      <w:r>
        <w:tab/>
        <w:t xml:space="preserve">If a VAT invoice is invalidated due to erroneous information provided by the buyer’s Member or the buying Client, they shall be held liable. If a buyer’s Member delays in providing the required information, the time for the seller’s Member to issue the </w:t>
      </w:r>
      <w:r w:rsidR="00494E3F">
        <w:t xml:space="preserve">VAT </w:t>
      </w:r>
      <w:r>
        <w:t>invoice may be extended accordingly.</w:t>
      </w:r>
    </w:p>
    <w:p w:rsidR="003E17FC" w:rsidRDefault="00CD5280">
      <w:pPr>
        <w:snapToGrid w:val="0"/>
        <w:spacing w:afterLines="100" w:after="240"/>
      </w:pPr>
      <w:r>
        <w:rPr>
          <w:b/>
          <w:bCs/>
        </w:rPr>
        <w:t>Article 1</w:t>
      </w:r>
      <w:r>
        <w:rPr>
          <w:rFonts w:hint="eastAsia"/>
          <w:b/>
          <w:bCs/>
        </w:rPr>
        <w:t>7</w:t>
      </w:r>
      <w:r>
        <w:tab/>
        <w:t>No VAT invoice is to be issued if the standard warrants sold by a Client or Non-FF Member are assigned to the Client or Non-FF Member itself.</w:t>
      </w:r>
    </w:p>
    <w:p w:rsidR="003E17FC" w:rsidRDefault="00CD5280">
      <w:pPr>
        <w:pStyle w:val="2"/>
      </w:pPr>
      <w:r>
        <w:t>CHAPTER 3</w:t>
      </w:r>
      <w:r>
        <w:tab/>
        <w:t>SELLER-TO-BUYER VAT INVOICING FOR EFP TRANSACTIONS SETTLED THROUGH STANDARD WARRANTS VIA THE EXCHANGE</w:t>
      </w:r>
    </w:p>
    <w:p w:rsidR="003E17FC" w:rsidRDefault="00CD5280">
      <w:pPr>
        <w:snapToGrid w:val="0"/>
        <w:spacing w:afterLines="100" w:after="240"/>
      </w:pPr>
      <w:r>
        <w:rPr>
          <w:b/>
          <w:bCs/>
        </w:rPr>
        <w:t>Article 1</w:t>
      </w:r>
      <w:r>
        <w:rPr>
          <w:rFonts w:hint="eastAsia"/>
          <w:b/>
          <w:bCs/>
        </w:rPr>
        <w:t>8</w:t>
      </w:r>
      <w:r>
        <w:tab/>
        <w:t xml:space="preserve">For any EFP transaction that is settled through standard warrants via the Exchange, the selling Client or Non-FF Member shall issue </w:t>
      </w:r>
      <w:r w:rsidRPr="007808E5">
        <w:t>VAT invoice</w:t>
      </w:r>
      <w:r w:rsidR="001D2AEB">
        <w:t>s</w:t>
      </w:r>
      <w:r>
        <w:t xml:space="preserve"> to the buying Client or Non-FF Member.</w:t>
      </w:r>
    </w:p>
    <w:p w:rsidR="003E17FC" w:rsidRDefault="00CD5280">
      <w:pPr>
        <w:snapToGrid w:val="0"/>
        <w:spacing w:afterLines="100" w:after="240"/>
        <w:rPr>
          <w:rFonts w:cs="Times New Roman"/>
        </w:rPr>
      </w:pPr>
      <w:r>
        <w:rPr>
          <w:rFonts w:cs="Times New Roman"/>
          <w:b/>
          <w:bCs/>
        </w:rPr>
        <w:t xml:space="preserve">Article </w:t>
      </w:r>
      <w:r>
        <w:rPr>
          <w:rFonts w:cs="Times New Roman" w:hint="eastAsia"/>
          <w:b/>
          <w:bCs/>
        </w:rPr>
        <w:t>19</w:t>
      </w:r>
      <w:r>
        <w:rPr>
          <w:rFonts w:cs="Times New Roman"/>
        </w:rPr>
        <w:tab/>
        <w:t xml:space="preserve">A buyer’s Member shall, </w:t>
      </w:r>
      <w:r>
        <w:t xml:space="preserve">within </w:t>
      </w:r>
      <w:r>
        <w:rPr>
          <w:rFonts w:cs="Times New Roman"/>
        </w:rPr>
        <w:t>one (1)</w:t>
      </w:r>
      <w:r>
        <w:t xml:space="preserve"> business day after the EFP application date, provide the seller’s Member with the VAT invoicing information.</w:t>
      </w:r>
    </w:p>
    <w:p w:rsidR="003E17FC" w:rsidRDefault="00CD5280">
      <w:pPr>
        <w:snapToGrid w:val="0"/>
        <w:spacing w:afterLines="100" w:after="240"/>
      </w:pPr>
      <w:r>
        <w:rPr>
          <w:b/>
          <w:bCs/>
        </w:rPr>
        <w:t>Article 2</w:t>
      </w:r>
      <w:r>
        <w:rPr>
          <w:rFonts w:hint="eastAsia"/>
          <w:b/>
          <w:bCs/>
        </w:rPr>
        <w:t>0</w:t>
      </w:r>
      <w:r>
        <w:tab/>
        <w:t>A Member shall transmit VAT invoicing information by itself.</w:t>
      </w:r>
    </w:p>
    <w:p w:rsidR="003E17FC" w:rsidRDefault="00CD5280">
      <w:pPr>
        <w:snapToGrid w:val="0"/>
        <w:spacing w:afterLines="100" w:after="240"/>
      </w:pPr>
      <w:r>
        <w:rPr>
          <w:b/>
          <w:bCs/>
        </w:rPr>
        <w:t>Article 2</w:t>
      </w:r>
      <w:r>
        <w:rPr>
          <w:rFonts w:hint="eastAsia"/>
          <w:b/>
          <w:bCs/>
        </w:rPr>
        <w:t>1</w:t>
      </w:r>
      <w:r>
        <w:tab/>
        <w:t xml:space="preserve">A seller’s Member shall deliver </w:t>
      </w:r>
      <w:r w:rsidRPr="007808E5">
        <w:t>VAT invoice</w:t>
      </w:r>
      <w:r w:rsidR="001D2AEB">
        <w:t>s</w:t>
      </w:r>
      <w:r>
        <w:t xml:space="preserve"> to the buyer’s Member no later than the seventh business day after the EFP application date.</w:t>
      </w:r>
    </w:p>
    <w:p w:rsidR="003E17FC" w:rsidRDefault="00CD5280">
      <w:pPr>
        <w:snapToGrid w:val="0"/>
        <w:spacing w:afterLines="100" w:after="240"/>
      </w:pPr>
      <w:r>
        <w:rPr>
          <w:b/>
          <w:bCs/>
        </w:rPr>
        <w:t>Article 2</w:t>
      </w:r>
      <w:r>
        <w:rPr>
          <w:rFonts w:hint="eastAsia"/>
          <w:b/>
          <w:bCs/>
        </w:rPr>
        <w:t>2</w:t>
      </w:r>
      <w:r>
        <w:tab/>
      </w:r>
      <w:r>
        <w:rPr>
          <w:rFonts w:hint="eastAsia"/>
        </w:rPr>
        <w:t>If the seller</w:t>
      </w:r>
      <w:r>
        <w:t>’</w:t>
      </w:r>
      <w:r>
        <w:rPr>
          <w:rFonts w:hint="eastAsia"/>
        </w:rPr>
        <w:t>s Member fails to complete the procedures for the VAT invoice before 2:00 p.m. of the next business day, the Exchange will, on that day, collect a deposit for the positions to be delivered of no less than 15% of the position value, calculated at the</w:t>
      </w:r>
      <w:r w:rsidR="002A6720">
        <w:t xml:space="preserve"> </w:t>
      </w:r>
      <w:r w:rsidR="002A6720" w:rsidRPr="002A6720">
        <w:t>EFP</w:t>
      </w:r>
      <w:r>
        <w:rPr>
          <w:rFonts w:hint="eastAsia"/>
        </w:rPr>
        <w:t xml:space="preserve"> final settlement price of the relevant contract. Such deposit will be refunded after both the buyer and the seller have completed the procedures for the VAT invoice, upon their Members</w:t>
      </w:r>
      <w:r>
        <w:t>’</w:t>
      </w:r>
      <w:r>
        <w:rPr>
          <w:rFonts w:hint="eastAsia"/>
        </w:rPr>
        <w:t xml:space="preserve"> request and confirmation.</w:t>
      </w:r>
    </w:p>
    <w:p w:rsidR="003E17FC" w:rsidRDefault="00CD5280">
      <w:pPr>
        <w:snapToGrid w:val="0"/>
        <w:spacing w:afterLines="100" w:after="240"/>
        <w:rPr>
          <w:rFonts w:cs="Times New Roman"/>
        </w:rPr>
      </w:pPr>
      <w:r>
        <w:rPr>
          <w:rFonts w:cs="Times New Roman"/>
          <w:b/>
          <w:bCs/>
        </w:rPr>
        <w:lastRenderedPageBreak/>
        <w:t>Article 2</w:t>
      </w:r>
      <w:r>
        <w:rPr>
          <w:rFonts w:cs="Times New Roman" w:hint="eastAsia"/>
          <w:b/>
          <w:bCs/>
        </w:rPr>
        <w:t>3</w:t>
      </w:r>
      <w:r>
        <w:rPr>
          <w:rFonts w:cs="Times New Roman"/>
        </w:rPr>
        <w:tab/>
        <w:t xml:space="preserve">Other matters relating to the VAT invoice for an EFP transaction that is settled through standard warrants via the Exchange, such as the mediation of disputes and the handling of overdue fine and liquidated damages in seller-to-buyer VAT invoicing, that are not covered in this Chapter, are governed </w:t>
      </w:r>
      <w:r>
        <w:rPr>
          <w:rFonts w:cs="Times New Roman"/>
          <w:i/>
          <w:iCs/>
        </w:rPr>
        <w:t>mutatis mutandis</w:t>
      </w:r>
      <w:r>
        <w:rPr>
          <w:rFonts w:cs="Times New Roman"/>
        </w:rPr>
        <w:t xml:space="preserve"> by Articles 4 to 1</w:t>
      </w:r>
      <w:r>
        <w:rPr>
          <w:rFonts w:cs="Times New Roman" w:hint="eastAsia"/>
        </w:rPr>
        <w:t>6</w:t>
      </w:r>
      <w:r>
        <w:rPr>
          <w:rFonts w:cs="Times New Roman"/>
        </w:rPr>
        <w:t xml:space="preserve"> of these </w:t>
      </w:r>
      <w:r>
        <w:rPr>
          <w:rFonts w:cs="Times New Roman"/>
          <w:i/>
          <w:iCs/>
        </w:rPr>
        <w:t>Guidelines</w:t>
      </w:r>
      <w:r>
        <w:rPr>
          <w:rFonts w:cs="Times New Roman"/>
        </w:rPr>
        <w:t>.</w:t>
      </w:r>
    </w:p>
    <w:p w:rsidR="003E17FC" w:rsidRDefault="00CD5280">
      <w:pPr>
        <w:pStyle w:val="2"/>
      </w:pPr>
      <w:r>
        <w:t>CHAPTER 4</w:t>
      </w:r>
      <w:r>
        <w:tab/>
        <w:t>SELLER-TO-BUYER VAT INVOICING FOR EXCHANGE-SETTLED OFF-EXCHANGE TRANSFER OF DUTY-PAID STANDARD WARRANTS</w:t>
      </w:r>
    </w:p>
    <w:p w:rsidR="003E17FC" w:rsidRDefault="00CD5280">
      <w:pPr>
        <w:snapToGrid w:val="0"/>
        <w:spacing w:afterLines="100" w:after="240"/>
      </w:pPr>
      <w:r>
        <w:rPr>
          <w:b/>
          <w:bCs/>
        </w:rPr>
        <w:t>Article 2</w:t>
      </w:r>
      <w:r>
        <w:rPr>
          <w:rFonts w:hint="eastAsia"/>
          <w:b/>
          <w:bCs/>
        </w:rPr>
        <w:t>4</w:t>
      </w:r>
      <w:r>
        <w:tab/>
        <w:t xml:space="preserve">In any off-Exchange transfer of duty-paid standard warrants that is settled through the Exchange, the selling Client or Non-FF Member shall issue </w:t>
      </w:r>
      <w:r w:rsidRPr="007808E5">
        <w:t>VAT invoice</w:t>
      </w:r>
      <w:r w:rsidR="001D2AEB">
        <w:t>s</w:t>
      </w:r>
      <w:r>
        <w:t xml:space="preserve"> to the buying Client or Non-FF Member or, alternatively, they may come to other agreements on how tax and </w:t>
      </w:r>
      <w:r w:rsidRPr="007808E5">
        <w:t>VAT invoice</w:t>
      </w:r>
      <w:r w:rsidR="001D2AEB">
        <w:t>s</w:t>
      </w:r>
      <w:r>
        <w:t xml:space="preserve"> are to be handled.</w:t>
      </w:r>
    </w:p>
    <w:p w:rsidR="003E17FC" w:rsidRDefault="00CD5280">
      <w:pPr>
        <w:snapToGrid w:val="0"/>
        <w:spacing w:afterLines="100" w:after="240"/>
      </w:pPr>
      <w:r>
        <w:rPr>
          <w:b/>
          <w:bCs/>
        </w:rPr>
        <w:t>Article 2</w:t>
      </w:r>
      <w:r>
        <w:rPr>
          <w:rFonts w:hint="eastAsia"/>
          <w:b/>
          <w:bCs/>
        </w:rPr>
        <w:t>5</w:t>
      </w:r>
      <w:r>
        <w:tab/>
        <w:t>A buyer’s Member shall provide VAT invoicing information to the seller’s Member no later than the business day after the day the Exchange completes the transfer procedures.</w:t>
      </w:r>
    </w:p>
    <w:p w:rsidR="003E17FC" w:rsidRDefault="00CD5280">
      <w:pPr>
        <w:snapToGrid w:val="0"/>
        <w:spacing w:afterLines="100" w:after="240"/>
      </w:pPr>
      <w:r>
        <w:rPr>
          <w:b/>
          <w:bCs/>
        </w:rPr>
        <w:t>Article 2</w:t>
      </w:r>
      <w:r>
        <w:rPr>
          <w:rFonts w:hint="eastAsia"/>
          <w:b/>
          <w:bCs/>
        </w:rPr>
        <w:t>6</w:t>
      </w:r>
      <w:r>
        <w:tab/>
        <w:t>A Member shall transmit VAT invoicing information by itself.</w:t>
      </w:r>
    </w:p>
    <w:p w:rsidR="003E17FC" w:rsidRDefault="00CD5280">
      <w:pPr>
        <w:snapToGrid w:val="0"/>
        <w:spacing w:afterLines="100" w:after="240"/>
      </w:pPr>
      <w:r>
        <w:rPr>
          <w:b/>
          <w:bCs/>
        </w:rPr>
        <w:t>Article 2</w:t>
      </w:r>
      <w:r>
        <w:rPr>
          <w:rFonts w:hint="eastAsia"/>
          <w:b/>
          <w:bCs/>
        </w:rPr>
        <w:t>7</w:t>
      </w:r>
      <w:r>
        <w:tab/>
        <w:t xml:space="preserve">A seller’s Member shall deliver </w:t>
      </w:r>
      <w:r w:rsidRPr="007808E5">
        <w:t>VAT invoice</w:t>
      </w:r>
      <w:r w:rsidR="001D2AEB">
        <w:t>s</w:t>
      </w:r>
      <w:r w:rsidRPr="007808E5">
        <w:t xml:space="preserve"> t</w:t>
      </w:r>
      <w:r>
        <w:t>o the buyer’s Member no later than the seventh business day after the Exchange completes the transfer procedures.</w:t>
      </w:r>
    </w:p>
    <w:p w:rsidR="003E17FC" w:rsidRDefault="00CD5280">
      <w:pPr>
        <w:snapToGrid w:val="0"/>
        <w:spacing w:afterLines="100" w:after="240"/>
      </w:pPr>
      <w:r>
        <w:rPr>
          <w:b/>
          <w:bCs/>
        </w:rPr>
        <w:t>Article 2</w:t>
      </w:r>
      <w:r>
        <w:rPr>
          <w:rFonts w:hint="eastAsia"/>
          <w:b/>
          <w:bCs/>
        </w:rPr>
        <w:t>8</w:t>
      </w:r>
      <w:r>
        <w:tab/>
        <w:t>Other matters relating to the VAT invoice for an off-Exchange transfer of duty-paid standard</w:t>
      </w:r>
      <w:r>
        <w:rPr>
          <w:rFonts w:cs="Times New Roman"/>
        </w:rPr>
        <w:t xml:space="preserve"> warrants that is settled via the Exchange, such as the mediation of disputes and the handling of overdue fine and liquidated damages in seller-to-buyer VAT invoicing, that are not covered in this Chapter, are governed </w:t>
      </w:r>
      <w:r>
        <w:rPr>
          <w:rFonts w:cs="Times New Roman"/>
          <w:i/>
          <w:iCs/>
        </w:rPr>
        <w:t>mutatis mutandis</w:t>
      </w:r>
      <w:r>
        <w:rPr>
          <w:rFonts w:cs="Times New Roman"/>
        </w:rPr>
        <w:t xml:space="preserve"> by </w:t>
      </w:r>
      <w:r>
        <w:t>Articles 4 to 1</w:t>
      </w:r>
      <w:r>
        <w:rPr>
          <w:rFonts w:hint="eastAsia"/>
        </w:rPr>
        <w:t>6</w:t>
      </w:r>
      <w:r>
        <w:t xml:space="preserve"> of these</w:t>
      </w:r>
      <w:r>
        <w:rPr>
          <w:rFonts w:cs="Times New Roman"/>
        </w:rPr>
        <w:t xml:space="preserve"> </w:t>
      </w:r>
      <w:r>
        <w:rPr>
          <w:rFonts w:cs="Times New Roman"/>
          <w:i/>
          <w:iCs/>
        </w:rPr>
        <w:t>Guidelines</w:t>
      </w:r>
      <w:r>
        <w:rPr>
          <w:rFonts w:cs="Times New Roman"/>
        </w:rPr>
        <w:t>.</w:t>
      </w:r>
    </w:p>
    <w:p w:rsidR="003E17FC" w:rsidRDefault="00CD5280">
      <w:pPr>
        <w:pStyle w:val="2"/>
      </w:pPr>
      <w:r>
        <w:t>CHAPTER 5</w:t>
      </w:r>
      <w:r>
        <w:tab/>
        <w:t>MISCELLANEOUS</w:t>
      </w:r>
    </w:p>
    <w:p w:rsidR="003E17FC" w:rsidRDefault="00CD5280">
      <w:pPr>
        <w:snapToGrid w:val="0"/>
        <w:spacing w:afterLines="100" w:after="240"/>
      </w:pPr>
      <w:r>
        <w:rPr>
          <w:b/>
          <w:bCs/>
        </w:rPr>
        <w:t xml:space="preserve">Article </w:t>
      </w:r>
      <w:r>
        <w:rPr>
          <w:rFonts w:hint="eastAsia"/>
          <w:b/>
          <w:bCs/>
        </w:rPr>
        <w:t>29</w:t>
      </w:r>
      <w:r>
        <w:tab/>
        <w:t xml:space="preserve">The Exchange reserves the right to interpret these </w:t>
      </w:r>
      <w:r>
        <w:rPr>
          <w:i/>
          <w:iCs/>
        </w:rPr>
        <w:t>Guidelines</w:t>
      </w:r>
      <w:r>
        <w:t>.</w:t>
      </w:r>
    </w:p>
    <w:p w:rsidR="003E17FC" w:rsidRDefault="00CD5280">
      <w:pPr>
        <w:snapToGrid w:val="0"/>
        <w:spacing w:afterLines="100" w:after="240"/>
      </w:pPr>
      <w:r>
        <w:rPr>
          <w:b/>
          <w:bCs/>
        </w:rPr>
        <w:t>Article 3</w:t>
      </w:r>
      <w:r>
        <w:rPr>
          <w:rFonts w:hint="eastAsia"/>
          <w:b/>
          <w:bCs/>
        </w:rPr>
        <w:t>0</w:t>
      </w:r>
      <w:r>
        <w:tab/>
        <w:t xml:space="preserve">These </w:t>
      </w:r>
      <w:r>
        <w:rPr>
          <w:i/>
          <w:iCs/>
        </w:rPr>
        <w:t>Guidelines</w:t>
      </w:r>
      <w:r>
        <w:t xml:space="preserve"> take effect on </w:t>
      </w:r>
      <w:r w:rsidR="00872199">
        <w:t>January 15, 2027</w:t>
      </w:r>
      <w:r>
        <w:t>.</w:t>
      </w:r>
    </w:p>
    <w:p w:rsidR="003E17FC" w:rsidRDefault="003E17FC">
      <w:pPr>
        <w:snapToGrid w:val="0"/>
        <w:spacing w:afterLines="100" w:after="240"/>
      </w:pPr>
      <w:bookmarkStart w:id="1" w:name="_GoBack"/>
      <w:bookmarkEnd w:id="1"/>
    </w:p>
    <w:sectPr w:rsidR="003E17FC">
      <w:footerReference w:type="default" r:id="rId6"/>
      <w:pgSz w:w="11906" w:h="16838"/>
      <w:pgMar w:top="1440" w:right="1440" w:bottom="1440" w:left="1440" w:header="720" w:footer="9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6B2" w:rsidRDefault="009A66B2">
      <w:pPr>
        <w:spacing w:line="240" w:lineRule="auto"/>
      </w:pPr>
      <w:r>
        <w:separator/>
      </w:r>
    </w:p>
  </w:endnote>
  <w:endnote w:type="continuationSeparator" w:id="0">
    <w:p w:rsidR="009A66B2" w:rsidRDefault="009A66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ptos">
    <w:altName w:val="Arial"/>
    <w:charset w:val="00"/>
    <w:family w:val="swiss"/>
    <w:pitch w:val="default"/>
    <w:sig w:usb0="00000000" w:usb1="00000000"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193124"/>
    </w:sdtPr>
    <w:sdtEndPr>
      <w:rPr>
        <w:sz w:val="20"/>
        <w:szCs w:val="20"/>
      </w:rPr>
    </w:sdtEndPr>
    <w:sdtContent>
      <w:p w:rsidR="003E17FC" w:rsidRDefault="00CD5280">
        <w:pPr>
          <w:pStyle w:val="a5"/>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4F491A">
          <w:rPr>
            <w:noProof/>
            <w:sz w:val="20"/>
            <w:szCs w:val="20"/>
          </w:rPr>
          <w:t>3</w:t>
        </w:r>
        <w:r>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6B2" w:rsidRDefault="009A66B2">
      <w:r>
        <w:separator/>
      </w:r>
    </w:p>
  </w:footnote>
  <w:footnote w:type="continuationSeparator" w:id="0">
    <w:p w:rsidR="009A66B2" w:rsidRDefault="009A66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isplayBackgroundShape/>
  <w:bordersDoNotSurroundHeader/>
  <w:bordersDoNotSurroundFooter/>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C4A"/>
    <w:rsid w:val="97FFA7A0"/>
    <w:rsid w:val="ADF04E36"/>
    <w:rsid w:val="BEB7F360"/>
    <w:rsid w:val="BEFF5B29"/>
    <w:rsid w:val="BFDBFC2A"/>
    <w:rsid w:val="BFFDBAC8"/>
    <w:rsid w:val="CEFF0C05"/>
    <w:rsid w:val="CFDFBD1E"/>
    <w:rsid w:val="D6CF80A9"/>
    <w:rsid w:val="DCFFE908"/>
    <w:rsid w:val="DFCFB1D0"/>
    <w:rsid w:val="DFFF3E69"/>
    <w:rsid w:val="EFBB49EB"/>
    <w:rsid w:val="F57EF970"/>
    <w:rsid w:val="F7933532"/>
    <w:rsid w:val="F7B9C3AA"/>
    <w:rsid w:val="FBFFABAD"/>
    <w:rsid w:val="00010FAF"/>
    <w:rsid w:val="00021D3B"/>
    <w:rsid w:val="00060277"/>
    <w:rsid w:val="00064F73"/>
    <w:rsid w:val="00086A12"/>
    <w:rsid w:val="00090530"/>
    <w:rsid w:val="000A2729"/>
    <w:rsid w:val="000B5227"/>
    <w:rsid w:val="000D529F"/>
    <w:rsid w:val="000D7995"/>
    <w:rsid w:val="000E42B2"/>
    <w:rsid w:val="000E535B"/>
    <w:rsid w:val="001035F4"/>
    <w:rsid w:val="00107386"/>
    <w:rsid w:val="00111BCD"/>
    <w:rsid w:val="00120E8D"/>
    <w:rsid w:val="0012477A"/>
    <w:rsid w:val="00135AFE"/>
    <w:rsid w:val="00152688"/>
    <w:rsid w:val="00157D48"/>
    <w:rsid w:val="00162F95"/>
    <w:rsid w:val="0017088C"/>
    <w:rsid w:val="00173FBA"/>
    <w:rsid w:val="00195759"/>
    <w:rsid w:val="001A4DD6"/>
    <w:rsid w:val="001A733F"/>
    <w:rsid w:val="001A7768"/>
    <w:rsid w:val="001A790A"/>
    <w:rsid w:val="001C2251"/>
    <w:rsid w:val="001C5463"/>
    <w:rsid w:val="001D2AEB"/>
    <w:rsid w:val="001E076F"/>
    <w:rsid w:val="001F3919"/>
    <w:rsid w:val="002132D8"/>
    <w:rsid w:val="002139A2"/>
    <w:rsid w:val="00231811"/>
    <w:rsid w:val="002401C2"/>
    <w:rsid w:val="00250BC3"/>
    <w:rsid w:val="0025160A"/>
    <w:rsid w:val="00261A28"/>
    <w:rsid w:val="00297ED0"/>
    <w:rsid w:val="002A6720"/>
    <w:rsid w:val="002B0A8A"/>
    <w:rsid w:val="002B47FF"/>
    <w:rsid w:val="002B5C7C"/>
    <w:rsid w:val="002B6A4F"/>
    <w:rsid w:val="002F174E"/>
    <w:rsid w:val="002F614E"/>
    <w:rsid w:val="003020EB"/>
    <w:rsid w:val="00302A83"/>
    <w:rsid w:val="00310E0C"/>
    <w:rsid w:val="0031152D"/>
    <w:rsid w:val="00314BDD"/>
    <w:rsid w:val="00316A15"/>
    <w:rsid w:val="00324970"/>
    <w:rsid w:val="00327AFC"/>
    <w:rsid w:val="00336B2C"/>
    <w:rsid w:val="00337023"/>
    <w:rsid w:val="0034447D"/>
    <w:rsid w:val="003466CF"/>
    <w:rsid w:val="00391EAA"/>
    <w:rsid w:val="00395C23"/>
    <w:rsid w:val="003B4E55"/>
    <w:rsid w:val="003C431D"/>
    <w:rsid w:val="003D5225"/>
    <w:rsid w:val="003E17FC"/>
    <w:rsid w:val="00406F73"/>
    <w:rsid w:val="004116A0"/>
    <w:rsid w:val="00437143"/>
    <w:rsid w:val="0044547B"/>
    <w:rsid w:val="004530E4"/>
    <w:rsid w:val="00453609"/>
    <w:rsid w:val="00463664"/>
    <w:rsid w:val="00477A11"/>
    <w:rsid w:val="0048715F"/>
    <w:rsid w:val="00493B9E"/>
    <w:rsid w:val="00494E3F"/>
    <w:rsid w:val="004A1267"/>
    <w:rsid w:val="004A1897"/>
    <w:rsid w:val="004B5FD0"/>
    <w:rsid w:val="004C0961"/>
    <w:rsid w:val="004C357C"/>
    <w:rsid w:val="004D76BA"/>
    <w:rsid w:val="004E6862"/>
    <w:rsid w:val="004F491A"/>
    <w:rsid w:val="00502026"/>
    <w:rsid w:val="005037D8"/>
    <w:rsid w:val="00522C99"/>
    <w:rsid w:val="0057284C"/>
    <w:rsid w:val="005843A5"/>
    <w:rsid w:val="0058559E"/>
    <w:rsid w:val="00595D83"/>
    <w:rsid w:val="00597CEB"/>
    <w:rsid w:val="005A733B"/>
    <w:rsid w:val="005C030C"/>
    <w:rsid w:val="005C2D65"/>
    <w:rsid w:val="005E253E"/>
    <w:rsid w:val="005E3CC7"/>
    <w:rsid w:val="005F3568"/>
    <w:rsid w:val="00642BA6"/>
    <w:rsid w:val="00670B84"/>
    <w:rsid w:val="006733C7"/>
    <w:rsid w:val="00690E27"/>
    <w:rsid w:val="006927C2"/>
    <w:rsid w:val="0069407F"/>
    <w:rsid w:val="006A39D7"/>
    <w:rsid w:val="006A44B1"/>
    <w:rsid w:val="006A7B76"/>
    <w:rsid w:val="006B7A70"/>
    <w:rsid w:val="006C70E5"/>
    <w:rsid w:val="006E59F4"/>
    <w:rsid w:val="006F047A"/>
    <w:rsid w:val="006F4C4A"/>
    <w:rsid w:val="006F7B3D"/>
    <w:rsid w:val="00703298"/>
    <w:rsid w:val="00705176"/>
    <w:rsid w:val="00735850"/>
    <w:rsid w:val="007503FD"/>
    <w:rsid w:val="007512C6"/>
    <w:rsid w:val="0075222C"/>
    <w:rsid w:val="007808E5"/>
    <w:rsid w:val="00790C5D"/>
    <w:rsid w:val="00797D73"/>
    <w:rsid w:val="007C3F7D"/>
    <w:rsid w:val="007C40DC"/>
    <w:rsid w:val="007C560C"/>
    <w:rsid w:val="007C7440"/>
    <w:rsid w:val="007E2860"/>
    <w:rsid w:val="007E6BCF"/>
    <w:rsid w:val="007E7E00"/>
    <w:rsid w:val="008158FD"/>
    <w:rsid w:val="00822C93"/>
    <w:rsid w:val="00824C63"/>
    <w:rsid w:val="00830AA6"/>
    <w:rsid w:val="0084408B"/>
    <w:rsid w:val="00846C84"/>
    <w:rsid w:val="00846E9E"/>
    <w:rsid w:val="008535DD"/>
    <w:rsid w:val="0086687F"/>
    <w:rsid w:val="00872199"/>
    <w:rsid w:val="008750CD"/>
    <w:rsid w:val="00876F09"/>
    <w:rsid w:val="008811B2"/>
    <w:rsid w:val="00892E2A"/>
    <w:rsid w:val="00893B3A"/>
    <w:rsid w:val="008A3274"/>
    <w:rsid w:val="008C3FAB"/>
    <w:rsid w:val="008C73DE"/>
    <w:rsid w:val="008D0ECF"/>
    <w:rsid w:val="008D6AA0"/>
    <w:rsid w:val="0091185F"/>
    <w:rsid w:val="0091226B"/>
    <w:rsid w:val="009127D1"/>
    <w:rsid w:val="009552EF"/>
    <w:rsid w:val="0096188C"/>
    <w:rsid w:val="00963CD1"/>
    <w:rsid w:val="00992D76"/>
    <w:rsid w:val="00996F1A"/>
    <w:rsid w:val="009A55B2"/>
    <w:rsid w:val="009A66B2"/>
    <w:rsid w:val="009B729A"/>
    <w:rsid w:val="009C621E"/>
    <w:rsid w:val="009E600B"/>
    <w:rsid w:val="009F2870"/>
    <w:rsid w:val="009F5419"/>
    <w:rsid w:val="00A45BE8"/>
    <w:rsid w:val="00A55261"/>
    <w:rsid w:val="00A6395F"/>
    <w:rsid w:val="00A67096"/>
    <w:rsid w:val="00A70D2F"/>
    <w:rsid w:val="00A9375F"/>
    <w:rsid w:val="00A94B15"/>
    <w:rsid w:val="00AA024F"/>
    <w:rsid w:val="00AA38F8"/>
    <w:rsid w:val="00AD3380"/>
    <w:rsid w:val="00AD630A"/>
    <w:rsid w:val="00AE75E6"/>
    <w:rsid w:val="00AF2FA4"/>
    <w:rsid w:val="00B14E2E"/>
    <w:rsid w:val="00B23F2A"/>
    <w:rsid w:val="00B24132"/>
    <w:rsid w:val="00B349F4"/>
    <w:rsid w:val="00B41147"/>
    <w:rsid w:val="00B420F7"/>
    <w:rsid w:val="00B43AB5"/>
    <w:rsid w:val="00B530DA"/>
    <w:rsid w:val="00B55A73"/>
    <w:rsid w:val="00B600B2"/>
    <w:rsid w:val="00B67C3B"/>
    <w:rsid w:val="00B700FE"/>
    <w:rsid w:val="00B82637"/>
    <w:rsid w:val="00B82FB2"/>
    <w:rsid w:val="00B87918"/>
    <w:rsid w:val="00B90E02"/>
    <w:rsid w:val="00BB3389"/>
    <w:rsid w:val="00BD7A38"/>
    <w:rsid w:val="00BE191A"/>
    <w:rsid w:val="00BE6BFE"/>
    <w:rsid w:val="00BF406D"/>
    <w:rsid w:val="00C064A4"/>
    <w:rsid w:val="00C136E2"/>
    <w:rsid w:val="00C157B5"/>
    <w:rsid w:val="00C257ED"/>
    <w:rsid w:val="00C35832"/>
    <w:rsid w:val="00C647B4"/>
    <w:rsid w:val="00C67544"/>
    <w:rsid w:val="00C74160"/>
    <w:rsid w:val="00C81C79"/>
    <w:rsid w:val="00C903A2"/>
    <w:rsid w:val="00C955D0"/>
    <w:rsid w:val="00CA7902"/>
    <w:rsid w:val="00CB5D97"/>
    <w:rsid w:val="00CC3204"/>
    <w:rsid w:val="00CC5CB4"/>
    <w:rsid w:val="00CD5280"/>
    <w:rsid w:val="00CE08D0"/>
    <w:rsid w:val="00CE0D33"/>
    <w:rsid w:val="00CE3AAF"/>
    <w:rsid w:val="00D00636"/>
    <w:rsid w:val="00D37011"/>
    <w:rsid w:val="00D5609D"/>
    <w:rsid w:val="00D67CBF"/>
    <w:rsid w:val="00D81420"/>
    <w:rsid w:val="00DA03F1"/>
    <w:rsid w:val="00DA17E6"/>
    <w:rsid w:val="00DA3B2C"/>
    <w:rsid w:val="00DA492F"/>
    <w:rsid w:val="00DE393A"/>
    <w:rsid w:val="00E344AF"/>
    <w:rsid w:val="00E36F58"/>
    <w:rsid w:val="00E37318"/>
    <w:rsid w:val="00E54264"/>
    <w:rsid w:val="00E65F53"/>
    <w:rsid w:val="00E82225"/>
    <w:rsid w:val="00E83807"/>
    <w:rsid w:val="00E97E68"/>
    <w:rsid w:val="00EA5EE0"/>
    <w:rsid w:val="00EA7D4F"/>
    <w:rsid w:val="00EB73DA"/>
    <w:rsid w:val="00EC3C71"/>
    <w:rsid w:val="00EC7CD0"/>
    <w:rsid w:val="00EE6A43"/>
    <w:rsid w:val="00EF2C82"/>
    <w:rsid w:val="00EF6271"/>
    <w:rsid w:val="00F059C5"/>
    <w:rsid w:val="00F11A4B"/>
    <w:rsid w:val="00F15AC4"/>
    <w:rsid w:val="00F35FF6"/>
    <w:rsid w:val="00F40D29"/>
    <w:rsid w:val="00F8794F"/>
    <w:rsid w:val="00F91A3E"/>
    <w:rsid w:val="00F9409F"/>
    <w:rsid w:val="00FB0747"/>
    <w:rsid w:val="00FC0474"/>
    <w:rsid w:val="00FC2CBE"/>
    <w:rsid w:val="00FC2FFB"/>
    <w:rsid w:val="00FE4F6F"/>
    <w:rsid w:val="11BF002E"/>
    <w:rsid w:val="17D351C6"/>
    <w:rsid w:val="333E4349"/>
    <w:rsid w:val="33AFBC84"/>
    <w:rsid w:val="3E7D7341"/>
    <w:rsid w:val="3EB9A99E"/>
    <w:rsid w:val="3FE7BC13"/>
    <w:rsid w:val="4E78BB52"/>
    <w:rsid w:val="4EDD735D"/>
    <w:rsid w:val="659FE487"/>
    <w:rsid w:val="73EAA969"/>
    <w:rsid w:val="75978840"/>
    <w:rsid w:val="77BE101C"/>
    <w:rsid w:val="7F7B65A4"/>
    <w:rsid w:val="7FEE43C3"/>
    <w:rsid w:val="7FF782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3394EB"/>
  <w15:docId w15:val="{2F1BBFF1-F48C-4133-A11C-4F8029C4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59" w:lineRule="auto"/>
    </w:pPr>
    <w:rPr>
      <w:kern w:val="2"/>
      <w:sz w:val="24"/>
      <w:szCs w:val="24"/>
      <w14:ligatures w14:val="standardContextual"/>
    </w:rPr>
  </w:style>
  <w:style w:type="paragraph" w:styleId="1">
    <w:name w:val="heading 1"/>
    <w:basedOn w:val="a"/>
    <w:next w:val="a"/>
    <w:link w:val="10"/>
    <w:uiPriority w:val="9"/>
    <w:qFormat/>
    <w:pPr>
      <w:snapToGrid w:val="0"/>
      <w:spacing w:afterLines="100" w:after="240"/>
      <w:jc w:val="center"/>
      <w:outlineLvl w:val="0"/>
    </w:pPr>
    <w:rPr>
      <w:b/>
      <w:bCs/>
      <w:sz w:val="28"/>
      <w:szCs w:val="28"/>
    </w:rPr>
  </w:style>
  <w:style w:type="paragraph" w:styleId="2">
    <w:name w:val="heading 2"/>
    <w:basedOn w:val="a"/>
    <w:next w:val="a"/>
    <w:link w:val="20"/>
    <w:uiPriority w:val="9"/>
    <w:unhideWhenUsed/>
    <w:qFormat/>
    <w:pPr>
      <w:tabs>
        <w:tab w:val="left" w:pos="1800"/>
      </w:tabs>
      <w:snapToGrid w:val="0"/>
      <w:spacing w:afterLines="100" w:after="240"/>
      <w:jc w:val="center"/>
      <w:outlineLvl w:val="1"/>
    </w:pPr>
    <w:rPr>
      <w:rFonts w:cs="Times New Roman"/>
      <w:b/>
      <w:bCs/>
    </w:rPr>
  </w:style>
  <w:style w:type="paragraph" w:styleId="3">
    <w:name w:val="heading 3"/>
    <w:basedOn w:val="a"/>
    <w:next w:val="a"/>
    <w:link w:val="30"/>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snapToGrid w:val="0"/>
      <w:spacing w:line="240" w:lineRule="auto"/>
    </w:pPr>
    <w:rPr>
      <w:rFonts w:ascii="Arial" w:hAnsi="Arial"/>
      <w:sz w:val="20"/>
      <w:szCs w:val="20"/>
    </w:rPr>
  </w:style>
  <w:style w:type="paragraph" w:styleId="a5">
    <w:name w:val="footer"/>
    <w:basedOn w:val="a"/>
    <w:link w:val="a6"/>
    <w:uiPriority w:val="99"/>
    <w:unhideWhenUsed/>
    <w:qFormat/>
    <w:pPr>
      <w:tabs>
        <w:tab w:val="center" w:pos="4680"/>
        <w:tab w:val="right" w:pos="9360"/>
      </w:tabs>
      <w:spacing w:line="240" w:lineRule="auto"/>
    </w:pPr>
  </w:style>
  <w:style w:type="paragraph" w:styleId="a7">
    <w:name w:val="header"/>
    <w:basedOn w:val="a"/>
    <w:link w:val="a8"/>
    <w:uiPriority w:val="99"/>
    <w:unhideWhenUsed/>
    <w:qFormat/>
    <w:pPr>
      <w:tabs>
        <w:tab w:val="center" w:pos="4680"/>
        <w:tab w:val="right" w:pos="9360"/>
      </w:tabs>
      <w:spacing w:line="240" w:lineRule="auto"/>
    </w:pPr>
  </w:style>
  <w:style w:type="paragraph" w:styleId="a9">
    <w:name w:val="Subtitle"/>
    <w:basedOn w:val="a"/>
    <w:next w:val="a"/>
    <w:link w:val="aa"/>
    <w:uiPriority w:val="11"/>
    <w:qFormat/>
    <w:pPr>
      <w:spacing w:after="160"/>
    </w:pPr>
    <w:rPr>
      <w:rFonts w:asciiTheme="minorHAnsi" w:eastAsiaTheme="majorEastAsia" w:hAnsiTheme="min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pPr>
      <w:snapToGrid/>
    </w:pPr>
    <w:rPr>
      <w:rFonts w:ascii="Times New Roman" w:hAnsi="Times New Roman"/>
      <w:b/>
      <w:bCs/>
    </w:rPr>
  </w:style>
  <w:style w:type="character" w:styleId="af">
    <w:name w:val="annotation reference"/>
    <w:basedOn w:val="a0"/>
    <w:uiPriority w:val="99"/>
    <w:semiHidden/>
    <w:unhideWhenUsed/>
    <w:qFormat/>
    <w:rPr>
      <w:sz w:val="16"/>
      <w:szCs w:val="16"/>
    </w:rPr>
  </w:style>
  <w:style w:type="character" w:customStyle="1" w:styleId="a4">
    <w:name w:val="批注文字 字符"/>
    <w:basedOn w:val="a0"/>
    <w:link w:val="a3"/>
    <w:uiPriority w:val="99"/>
    <w:semiHidden/>
    <w:qFormat/>
    <w:rPr>
      <w:rFonts w:ascii="Arial" w:hAnsi="Arial"/>
      <w:sz w:val="20"/>
      <w:szCs w:val="20"/>
    </w:rPr>
  </w:style>
  <w:style w:type="character" w:customStyle="1" w:styleId="10">
    <w:name w:val="标题 1 字符"/>
    <w:basedOn w:val="a0"/>
    <w:link w:val="1"/>
    <w:uiPriority w:val="9"/>
    <w:qFormat/>
    <w:rPr>
      <w:b/>
      <w:bCs/>
      <w:sz w:val="28"/>
      <w:szCs w:val="28"/>
    </w:rPr>
  </w:style>
  <w:style w:type="character" w:customStyle="1" w:styleId="20">
    <w:name w:val="标题 2 字符"/>
    <w:basedOn w:val="a0"/>
    <w:link w:val="2"/>
    <w:uiPriority w:val="9"/>
    <w:qFormat/>
    <w:rPr>
      <w:rFonts w:cs="Times New Roman"/>
      <w:b/>
      <w:bCs/>
    </w:rPr>
  </w:style>
  <w:style w:type="character" w:customStyle="1" w:styleId="30">
    <w:name w:val="标题 3 字符"/>
    <w:basedOn w:val="a0"/>
    <w:link w:val="3"/>
    <w:uiPriority w:val="9"/>
    <w:semiHidden/>
    <w:qFormat/>
    <w:rPr>
      <w:rFonts w:asciiTheme="minorHAnsi" w:eastAsiaTheme="majorEastAsia" w:hAnsiTheme="minorHAnsi" w:cstheme="majorBidi"/>
      <w:color w:val="0F4761" w:themeColor="accent1" w:themeShade="BF"/>
      <w:sz w:val="28"/>
      <w:szCs w:val="28"/>
    </w:rPr>
  </w:style>
  <w:style w:type="character" w:customStyle="1" w:styleId="40">
    <w:name w:val="标题 4 字符"/>
    <w:basedOn w:val="a0"/>
    <w:link w:val="4"/>
    <w:uiPriority w:val="9"/>
    <w:semiHidden/>
    <w:qFormat/>
    <w:rPr>
      <w:rFonts w:asciiTheme="minorHAnsi" w:eastAsiaTheme="majorEastAsia" w:hAnsiTheme="minorHAnsi" w:cstheme="majorBidi"/>
      <w:i/>
      <w:iCs/>
      <w:color w:val="0F4761" w:themeColor="accent1" w:themeShade="BF"/>
    </w:rPr>
  </w:style>
  <w:style w:type="character" w:customStyle="1" w:styleId="50">
    <w:name w:val="标题 5 字符"/>
    <w:basedOn w:val="a0"/>
    <w:link w:val="5"/>
    <w:uiPriority w:val="9"/>
    <w:semiHidden/>
    <w:qFormat/>
    <w:rPr>
      <w:rFonts w:asciiTheme="minorHAnsi" w:eastAsiaTheme="majorEastAsia" w:hAnsiTheme="minorHAnsi" w:cstheme="majorBidi"/>
      <w:color w:val="0F4761" w:themeColor="accent1" w:themeShade="BF"/>
    </w:rPr>
  </w:style>
  <w:style w:type="character" w:customStyle="1" w:styleId="60">
    <w:name w:val="标题 6 字符"/>
    <w:basedOn w:val="a0"/>
    <w:link w:val="6"/>
    <w:uiPriority w:val="9"/>
    <w:semiHidden/>
    <w:qFormat/>
    <w:rPr>
      <w:rFonts w:asciiTheme="minorHAnsi" w:eastAsiaTheme="majorEastAsia" w:hAnsiTheme="minorHAnsi" w:cstheme="majorBidi"/>
      <w:i/>
      <w:iCs/>
      <w:color w:val="595959" w:themeColor="text1" w:themeTint="A6"/>
    </w:rPr>
  </w:style>
  <w:style w:type="character" w:customStyle="1" w:styleId="70">
    <w:name w:val="标题 7 字符"/>
    <w:basedOn w:val="a0"/>
    <w:link w:val="7"/>
    <w:uiPriority w:val="9"/>
    <w:semiHidden/>
    <w:qFormat/>
    <w:rPr>
      <w:rFonts w:asciiTheme="minorHAnsi" w:eastAsiaTheme="majorEastAsia" w:hAnsiTheme="minorHAnsi" w:cstheme="majorBidi"/>
      <w:color w:val="595959" w:themeColor="text1" w:themeTint="A6"/>
    </w:rPr>
  </w:style>
  <w:style w:type="character" w:customStyle="1" w:styleId="80">
    <w:name w:val="标题 8 字符"/>
    <w:basedOn w:val="a0"/>
    <w:link w:val="8"/>
    <w:uiPriority w:val="9"/>
    <w:semiHidden/>
    <w:qFormat/>
    <w:rPr>
      <w:rFonts w:asciiTheme="minorHAnsi" w:eastAsiaTheme="majorEastAsia" w:hAnsiTheme="minorHAnsi" w:cstheme="majorBidi"/>
      <w:i/>
      <w:iCs/>
      <w:color w:val="262626" w:themeColor="text1" w:themeTint="D9"/>
    </w:rPr>
  </w:style>
  <w:style w:type="character" w:customStyle="1" w:styleId="90">
    <w:name w:val="标题 9 字符"/>
    <w:basedOn w:val="a0"/>
    <w:link w:val="9"/>
    <w:uiPriority w:val="9"/>
    <w:semiHidden/>
    <w:qFormat/>
    <w:rPr>
      <w:rFonts w:asciiTheme="minorHAnsi" w:eastAsiaTheme="majorEastAsia" w:hAnsiTheme="minorHAnsi" w:cstheme="majorBidi"/>
      <w:color w:val="262626" w:themeColor="text1" w:themeTint="D9"/>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inorHAnsi" w:eastAsiaTheme="majorEastAsia" w:hAnsiTheme="min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i/>
      <w:iCs/>
      <w:color w:val="404040" w:themeColor="text1" w:themeTint="BF"/>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style>
  <w:style w:type="character" w:customStyle="1" w:styleId="a6">
    <w:name w:val="页脚 字符"/>
    <w:basedOn w:val="a0"/>
    <w:link w:val="a5"/>
    <w:uiPriority w:val="99"/>
    <w:qFormat/>
  </w:style>
  <w:style w:type="character" w:customStyle="1" w:styleId="ae">
    <w:name w:val="批注主题 字符"/>
    <w:basedOn w:val="a4"/>
    <w:link w:val="ad"/>
    <w:uiPriority w:val="99"/>
    <w:semiHidden/>
    <w:qFormat/>
    <w:rPr>
      <w:rFonts w:ascii="Arial" w:hAnsi="Arial"/>
      <w:b/>
      <w:bCs/>
      <w:sz w:val="20"/>
      <w:szCs w:val="20"/>
    </w:rPr>
  </w:style>
  <w:style w:type="paragraph" w:customStyle="1" w:styleId="13">
    <w:name w:val="修订1"/>
    <w:hidden/>
    <w:uiPriority w:val="99"/>
    <w:semiHidden/>
    <w:qFormat/>
    <w:rPr>
      <w:kern w:val="2"/>
      <w:sz w:val="24"/>
      <w:szCs w:val="24"/>
      <w14:ligatures w14:val="standardContextual"/>
    </w:rPr>
  </w:style>
  <w:style w:type="paragraph" w:styleId="af5">
    <w:name w:val="Balloon Text"/>
    <w:basedOn w:val="a"/>
    <w:link w:val="af6"/>
    <w:uiPriority w:val="99"/>
    <w:semiHidden/>
    <w:unhideWhenUsed/>
    <w:rsid w:val="002A6720"/>
    <w:pPr>
      <w:spacing w:line="240" w:lineRule="auto"/>
    </w:pPr>
    <w:rPr>
      <w:sz w:val="18"/>
      <w:szCs w:val="18"/>
    </w:rPr>
  </w:style>
  <w:style w:type="character" w:customStyle="1" w:styleId="af6">
    <w:name w:val="批注框文本 字符"/>
    <w:basedOn w:val="a0"/>
    <w:link w:val="af5"/>
    <w:uiPriority w:val="99"/>
    <w:semiHidden/>
    <w:rsid w:val="002A6720"/>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1479</Words>
  <Characters>8434</Characters>
  <Application>Microsoft Office Word</Application>
  <DocSecurity>0</DocSecurity>
  <Lines>70</Lines>
  <Paragraphs>19</Paragraphs>
  <ScaleCrop>false</ScaleCrop>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Ubica</dc:creator>
  <cp:lastModifiedBy>曾致进</cp:lastModifiedBy>
  <cp:revision>18</cp:revision>
  <dcterms:created xsi:type="dcterms:W3CDTF">2026-10-11T22:35:00Z</dcterms:created>
  <dcterms:modified xsi:type="dcterms:W3CDTF">2026-10-29T02:36:00Z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2A428ED04A40E1001425CF6A98B02F89</vt:lpwstr>
  </property>
</Properties>
</file>