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0"/>
          <w:szCs w:val="30"/>
          <w:lang w:val="en-US" w:eastAsia="zh-CN"/>
        </w:rPr>
      </w:pPr>
      <w:r>
        <w:rPr>
          <w:rFonts w:hint="eastAsia" w:ascii="Times New Roman" w:hAnsi="Times New Roman" w:eastAsia="方正大标宋简体" w:cs="Times New Roman"/>
          <w:b/>
          <w:bCs/>
          <w:sz w:val="30"/>
          <w:szCs w:val="30"/>
          <w:lang w:val="en-US" w:eastAsia="zh-CN"/>
        </w:rPr>
        <w:t>Annex 2</w:t>
      </w:r>
    </w:p>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6"/>
          <w:szCs w:val="36"/>
          <w:lang w:val="en-US" w:eastAsia="zh-CN"/>
        </w:rPr>
      </w:pPr>
    </w:p>
    <w:p>
      <w:pPr>
        <w:keepNext w:val="0"/>
        <w:keepLines w:val="0"/>
        <w:widowControl/>
        <w:suppressLineNumbers w:val="0"/>
        <w:snapToGrid w:val="0"/>
        <w:spacing w:before="0" w:beforeAutospacing="0" w:after="0" w:afterAutospacing="0" w:line="256" w:lineRule="auto"/>
        <w:ind w:left="0" w:right="0"/>
        <w:jc w:val="center"/>
        <w:rPr>
          <w:rFonts w:hint="eastAsia" w:ascii="Times New Roman" w:hAnsi="Times New Roman" w:eastAsia="方正大标宋简体" w:cs="Times New Roman"/>
          <w:b/>
          <w:bCs/>
          <w:i/>
          <w:iCs/>
          <w:sz w:val="36"/>
          <w:szCs w:val="36"/>
          <w:lang w:val="en-US" w:eastAsia="zh-CN"/>
        </w:rPr>
      </w:pPr>
      <w:r>
        <w:rPr>
          <w:rFonts w:hint="default"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lang w:val="en-US" w:eastAsia="zh-CN"/>
        </w:rPr>
        <w:t xml:space="preserve"> to </w:t>
      </w:r>
      <w:r>
        <w:rPr>
          <w:rFonts w:hint="eastAsia" w:ascii="Times New Roman" w:hAnsi="Times New Roman" w:eastAsia="方正大标宋简体" w:cs="Times New Roman"/>
          <w:b/>
          <w:bCs/>
          <w:i/>
          <w:iCs/>
          <w:sz w:val="36"/>
          <w:szCs w:val="36"/>
          <w:lang w:val="en-US" w:eastAsia="zh-CN"/>
        </w:rPr>
        <w:t xml:space="preserve">Enforcement Rules of </w:t>
      </w: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方正大标宋简体" w:cs="Times New Roman"/>
          <w:b/>
          <w:bCs/>
          <w:i/>
          <w:iCs/>
          <w:sz w:val="36"/>
          <w:szCs w:val="36"/>
          <w:lang w:val="en-US" w:eastAsia="zh-CN"/>
        </w:rPr>
      </w:pPr>
      <w:r>
        <w:rPr>
          <w:rFonts w:hint="eastAsia" w:ascii="Times New Roman" w:hAnsi="Times New Roman" w:eastAsia="方正大标宋简体" w:cs="Times New Roman"/>
          <w:b/>
          <w:bCs/>
          <w:i/>
          <w:iCs/>
          <w:sz w:val="36"/>
          <w:szCs w:val="36"/>
          <w:lang w:val="en-US" w:eastAsia="zh-CN"/>
        </w:rPr>
        <w:t>the Shanghai International Energy Exchange</w:t>
      </w: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color w:val="auto"/>
          <w:kern w:val="2"/>
          <w:sz w:val="28"/>
          <w:szCs w:val="28"/>
          <w:lang w:val="en-US" w:eastAsia="zh-CN" w:bidi="ar"/>
        </w:rPr>
        <w:t>Note: Bolded sections in red are newly added and sections with double strikethroughs are deleted.</w:t>
      </w: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7"/>
        <w:gridCol w:w="6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7" w:type="dxa"/>
            <w:shd w:val="clear" w:color="auto" w:fill="5B9BD5" w:themeFill="accent1"/>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For public comments</w:t>
            </w:r>
          </w:p>
        </w:tc>
        <w:tc>
          <w:tcPr>
            <w:tcW w:w="6937" w:type="dxa"/>
            <w:shd w:val="clear" w:color="auto" w:fill="5B9BD5" w:themeFill="accent1"/>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Current Version (Effective on January 27, 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7" w:type="dxa"/>
            <w:vAlign w:val="top"/>
          </w:tcPr>
          <w:p>
            <w:pPr>
              <w:tabs>
                <w:tab w:val="left" w:pos="1276"/>
              </w:tabs>
              <w:adjustRightInd w:val="0"/>
              <w:snapToGrid w:val="0"/>
              <w:spacing w:before="60" w:after="60"/>
              <w:rPr>
                <w:rFonts w:hint="eastAsia" w:ascii="Times New Roman" w:hAnsi="Times New Roman" w:eastAsia="等线" w:cs="Times New Roman"/>
                <w:b/>
                <w:color w:val="FF0000"/>
                <w:sz w:val="22"/>
                <w:szCs w:val="22"/>
              </w:rPr>
            </w:pPr>
            <w:r>
              <w:rPr>
                <w:rFonts w:hint="eastAsia" w:ascii="Times New Roman" w:hAnsi="Times New Roman" w:eastAsia="等线" w:cs="Times New Roman"/>
                <w:b/>
                <w:color w:val="FF0000"/>
                <w:sz w:val="22"/>
                <w:szCs w:val="22"/>
              </w:rPr>
              <w:t>Article 2</w:t>
            </w:r>
            <w:r>
              <w:rPr>
                <w:rFonts w:hint="eastAsia" w:ascii="Times New Roman" w:hAnsi="Times New Roman" w:eastAsia="等线" w:cs="Times New Roman"/>
                <w:b/>
                <w:color w:val="FF0000"/>
                <w:sz w:val="22"/>
                <w:szCs w:val="22"/>
                <w:lang w:val="en-US" w:eastAsia="zh-CN"/>
              </w:rPr>
              <w:t>8+X</w:t>
            </w:r>
            <w:r>
              <w:rPr>
                <w:rFonts w:hint="eastAsia" w:ascii="Times New Roman" w:hAnsi="Times New Roman" w:eastAsia="等线" w:cs="Times New Roman"/>
                <w:b/>
                <w:color w:val="FF0000"/>
                <w:sz w:val="22"/>
                <w:szCs w:val="22"/>
              </w:rPr>
              <w:tab/>
            </w:r>
            <w:r>
              <w:rPr>
                <w:rFonts w:hint="default" w:ascii="Times New Roman" w:hAnsi="Times New Roman" w:eastAsia="等线" w:cs="Times New Roman"/>
                <w:b/>
                <w:color w:val="FF0000"/>
                <w:sz w:val="22"/>
                <w:szCs w:val="22"/>
                <w:lang w:val="en-US"/>
              </w:rPr>
              <w:t xml:space="preserve"> </w:t>
            </w:r>
            <w:r>
              <w:rPr>
                <w:rFonts w:hint="eastAsia" w:ascii="Times New Roman" w:hAnsi="Times New Roman" w:eastAsia="等线" w:cs="Times New Roman"/>
                <w:b/>
                <w:color w:val="FF0000"/>
                <w:sz w:val="22"/>
                <w:szCs w:val="22"/>
              </w:rPr>
              <w:t>A futures market participant that violates the rules of the Exchange on program trading in any of the following ways shall be required to make corrections and, depending on the severity of the violation, may be subject to such disciplinary actions from the Exchange as warning, reprimand, public censure, forced position liquidation, suspension of position opening for no more than twelve (12) months, suspension of part of its futures or options business, revocation of relevant qualifications, and/or designation as a “prohibited market participant”; in addition, a fine of up to five hundred thousand yuan (RMB500,000) may be imposed:</w:t>
            </w:r>
          </w:p>
          <w:p>
            <w:pPr>
              <w:tabs>
                <w:tab w:val="left" w:pos="1276"/>
              </w:tabs>
              <w:adjustRightInd w:val="0"/>
              <w:snapToGrid w:val="0"/>
              <w:spacing w:before="60" w:after="60"/>
              <w:rPr>
                <w:rFonts w:hint="eastAsia" w:ascii="Times New Roman" w:hAnsi="Times New Roman" w:eastAsia="等线" w:cs="Times New Roman"/>
                <w:b/>
                <w:color w:val="FF0000"/>
                <w:sz w:val="22"/>
                <w:szCs w:val="22"/>
              </w:rPr>
            </w:pPr>
            <w:r>
              <w:rPr>
                <w:rFonts w:hint="eastAsia" w:ascii="Times New Roman" w:hAnsi="Times New Roman" w:eastAsia="等线" w:cs="Times New Roman"/>
                <w:b/>
                <w:color w:val="FF0000"/>
                <w:sz w:val="22"/>
                <w:szCs w:val="22"/>
              </w:rPr>
              <w:t>(i)</w:t>
            </w:r>
            <w:r>
              <w:rPr>
                <w:rFonts w:hint="eastAsia" w:ascii="Times New Roman" w:hAnsi="Times New Roman" w:eastAsia="等线" w:cs="Times New Roman"/>
                <w:b/>
                <w:color w:val="FF0000"/>
                <w:sz w:val="22"/>
                <w:szCs w:val="22"/>
              </w:rPr>
              <w:tab/>
            </w:r>
            <w:r>
              <w:rPr>
                <w:rFonts w:hint="eastAsia" w:ascii="Times New Roman" w:hAnsi="Times New Roman" w:eastAsia="等线" w:cs="Times New Roman"/>
                <w:b/>
                <w:color w:val="FF0000"/>
                <w:sz w:val="22"/>
                <w:szCs w:val="22"/>
              </w:rPr>
              <w:t>failing to report or verify a Client</w:t>
            </w:r>
            <w:r>
              <w:rPr>
                <w:rFonts w:hint="default" w:ascii="Times New Roman" w:hAnsi="Times New Roman" w:eastAsia="等线" w:cs="Times New Roman"/>
                <w:b/>
                <w:color w:val="FF0000"/>
                <w:sz w:val="22"/>
                <w:szCs w:val="22"/>
                <w:lang w:val="en-US" w:eastAsia="zh-CN"/>
              </w:rPr>
              <w:t>’</w:t>
            </w:r>
            <w:r>
              <w:rPr>
                <w:rFonts w:hint="eastAsia" w:ascii="Times New Roman" w:hAnsi="Times New Roman" w:eastAsia="等线" w:cs="Times New Roman"/>
                <w:b/>
                <w:color w:val="FF0000"/>
                <w:sz w:val="22"/>
                <w:szCs w:val="22"/>
              </w:rPr>
              <w:t>s program trading information as prescribed;</w:t>
            </w:r>
          </w:p>
          <w:p>
            <w:pPr>
              <w:tabs>
                <w:tab w:val="left" w:pos="1276"/>
              </w:tabs>
              <w:adjustRightInd w:val="0"/>
              <w:snapToGrid w:val="0"/>
              <w:spacing w:before="60" w:after="60"/>
              <w:rPr>
                <w:rFonts w:hint="eastAsia" w:ascii="Times New Roman" w:hAnsi="Times New Roman" w:eastAsia="等线" w:cs="Times New Roman"/>
                <w:b/>
                <w:color w:val="FF0000"/>
                <w:sz w:val="22"/>
                <w:szCs w:val="22"/>
              </w:rPr>
            </w:pPr>
            <w:r>
              <w:rPr>
                <w:rFonts w:hint="eastAsia" w:ascii="Times New Roman" w:hAnsi="Times New Roman" w:eastAsia="等线" w:cs="Times New Roman"/>
                <w:b/>
                <w:color w:val="FF0000"/>
                <w:sz w:val="22"/>
                <w:szCs w:val="22"/>
              </w:rPr>
              <w:t>(ii)</w:t>
            </w:r>
            <w:r>
              <w:rPr>
                <w:rFonts w:hint="eastAsia" w:ascii="Times New Roman" w:hAnsi="Times New Roman" w:eastAsia="等线" w:cs="Times New Roman"/>
                <w:b/>
                <w:color w:val="FF0000"/>
                <w:sz w:val="22"/>
                <w:szCs w:val="22"/>
              </w:rPr>
              <w:tab/>
            </w:r>
            <w:r>
              <w:rPr>
                <w:rFonts w:hint="eastAsia" w:ascii="Times New Roman" w:hAnsi="Times New Roman" w:eastAsia="等线" w:cs="Times New Roman"/>
                <w:b/>
                <w:color w:val="FF0000"/>
                <w:sz w:val="22"/>
                <w:szCs w:val="22"/>
              </w:rPr>
              <w:t>engaging in high-frequency trading as a Non-FF Member or OSNBP, in violation of applicable rules;</w:t>
            </w:r>
          </w:p>
          <w:p>
            <w:pPr>
              <w:tabs>
                <w:tab w:val="left" w:pos="1276"/>
              </w:tabs>
              <w:adjustRightInd w:val="0"/>
              <w:snapToGrid w:val="0"/>
              <w:spacing w:before="60" w:after="60"/>
              <w:rPr>
                <w:rFonts w:hint="eastAsia" w:ascii="Times New Roman" w:hAnsi="Times New Roman" w:eastAsia="等线" w:cs="Times New Roman"/>
                <w:b/>
                <w:color w:val="FF0000"/>
                <w:sz w:val="22"/>
                <w:szCs w:val="22"/>
              </w:rPr>
            </w:pPr>
            <w:r>
              <w:rPr>
                <w:rFonts w:hint="eastAsia" w:ascii="Times New Roman" w:hAnsi="Times New Roman" w:eastAsia="等线" w:cs="Times New Roman"/>
                <w:b/>
                <w:color w:val="FF0000"/>
                <w:sz w:val="22"/>
                <w:szCs w:val="22"/>
              </w:rPr>
              <w:t>(iii)</w:t>
            </w:r>
            <w:r>
              <w:rPr>
                <w:rFonts w:hint="eastAsia" w:ascii="Times New Roman" w:hAnsi="Times New Roman" w:eastAsia="等线" w:cs="Times New Roman"/>
                <w:b/>
                <w:color w:val="FF0000"/>
                <w:sz w:val="22"/>
                <w:szCs w:val="22"/>
              </w:rPr>
              <w:tab/>
            </w:r>
            <w:r>
              <w:rPr>
                <w:rFonts w:hint="eastAsia" w:ascii="Times New Roman" w:hAnsi="Times New Roman" w:eastAsia="等线" w:cs="Times New Roman"/>
                <w:b/>
                <w:color w:val="FF0000"/>
                <w:sz w:val="22"/>
                <w:szCs w:val="22"/>
              </w:rPr>
              <w:t>violating any applicable requirement on hosting resources</w:t>
            </w:r>
            <w:r>
              <w:rPr>
                <w:rFonts w:hint="eastAsia" w:ascii="Times New Roman" w:hAnsi="Times New Roman" w:eastAsia="等线" w:cs="Times New Roman"/>
                <w:b/>
                <w:color w:val="FF0000"/>
                <w:sz w:val="22"/>
                <w:szCs w:val="22"/>
                <w:lang w:val="en-US" w:eastAsia="zh-CN"/>
              </w:rPr>
              <w:t xml:space="preserve"> </w:t>
            </w:r>
            <w:r>
              <w:rPr>
                <w:rFonts w:hint="eastAsia" w:ascii="Times New Roman" w:hAnsi="Times New Roman" w:eastAsia="等线" w:cs="Times New Roman"/>
                <w:b/>
                <w:color w:val="FF0000"/>
                <w:sz w:val="22"/>
                <w:szCs w:val="22"/>
              </w:rPr>
              <w:t>or trading seats;</w:t>
            </w:r>
          </w:p>
          <w:p>
            <w:pPr>
              <w:tabs>
                <w:tab w:val="left" w:pos="1276"/>
              </w:tabs>
              <w:adjustRightInd w:val="0"/>
              <w:snapToGrid w:val="0"/>
              <w:spacing w:before="60" w:after="60"/>
              <w:rPr>
                <w:rFonts w:hint="eastAsia" w:ascii="Times New Roman" w:hAnsi="Times New Roman" w:eastAsia="等线" w:cs="Times New Roman"/>
                <w:b/>
                <w:color w:val="FF0000"/>
                <w:sz w:val="22"/>
                <w:szCs w:val="22"/>
              </w:rPr>
            </w:pPr>
            <w:r>
              <w:rPr>
                <w:rFonts w:hint="eastAsia" w:ascii="Times New Roman" w:hAnsi="Times New Roman" w:eastAsia="等线" w:cs="Times New Roman"/>
                <w:b/>
                <w:color w:val="FF0000"/>
                <w:sz w:val="22"/>
                <w:szCs w:val="22"/>
              </w:rPr>
              <w:t>(iv)</w:t>
            </w:r>
            <w:r>
              <w:rPr>
                <w:rFonts w:hint="eastAsia" w:ascii="Times New Roman" w:hAnsi="Times New Roman" w:eastAsia="等线" w:cs="Times New Roman"/>
                <w:b/>
                <w:color w:val="FF0000"/>
                <w:sz w:val="22"/>
                <w:szCs w:val="22"/>
              </w:rPr>
              <w:tab/>
            </w:r>
            <w:r>
              <w:rPr>
                <w:rFonts w:hint="eastAsia" w:ascii="Times New Roman" w:hAnsi="Times New Roman" w:eastAsia="等线" w:cs="Times New Roman"/>
                <w:b/>
                <w:color w:val="FF0000"/>
                <w:sz w:val="22"/>
                <w:szCs w:val="22"/>
              </w:rPr>
              <w:t>failing to establish or effectively implement internal control, risk management, compliance management, and other relevant systems for program trading as prescribed and resulting in material risks;</w:t>
            </w:r>
          </w:p>
          <w:p>
            <w:pPr>
              <w:tabs>
                <w:tab w:val="left" w:pos="1276"/>
              </w:tabs>
              <w:adjustRightInd w:val="0"/>
              <w:snapToGrid w:val="0"/>
              <w:spacing w:before="60" w:after="60"/>
              <w:rPr>
                <w:rFonts w:hint="eastAsia" w:ascii="Times New Roman" w:hAnsi="Times New Roman" w:eastAsia="等线" w:cs="Times New Roman"/>
                <w:b/>
                <w:color w:val="FF0000"/>
                <w:sz w:val="22"/>
                <w:szCs w:val="22"/>
              </w:rPr>
            </w:pPr>
            <w:r>
              <w:rPr>
                <w:rFonts w:hint="eastAsia" w:ascii="Times New Roman" w:hAnsi="Times New Roman" w:eastAsia="等线" w:cs="Times New Roman"/>
                <w:b/>
                <w:color w:val="FF0000"/>
                <w:sz w:val="22"/>
                <w:szCs w:val="22"/>
              </w:rPr>
              <w:t>(v)</w:t>
            </w:r>
            <w:r>
              <w:rPr>
                <w:rFonts w:hint="eastAsia" w:ascii="Times New Roman" w:hAnsi="Times New Roman" w:eastAsia="等线" w:cs="Times New Roman"/>
                <w:b/>
                <w:color w:val="FF0000"/>
                <w:sz w:val="22"/>
                <w:szCs w:val="22"/>
              </w:rPr>
              <w:tab/>
            </w:r>
            <w:r>
              <w:rPr>
                <w:rFonts w:hint="eastAsia" w:ascii="Times New Roman" w:hAnsi="Times New Roman" w:eastAsia="等线" w:cs="Times New Roman"/>
                <w:b/>
                <w:color w:val="FF0000"/>
                <w:sz w:val="22"/>
                <w:szCs w:val="22"/>
              </w:rPr>
              <w:t xml:space="preserve">failing to take appropriate measures as prescribed following </w:t>
            </w:r>
            <w:r>
              <w:rPr>
                <w:rFonts w:hint="eastAsia" w:ascii="Times New Roman" w:hAnsi="Times New Roman" w:eastAsia="等线" w:cs="Times New Roman"/>
                <w:b/>
                <w:color w:val="FF0000"/>
                <w:sz w:val="22"/>
                <w:szCs w:val="22"/>
                <w:lang w:val="en-US" w:eastAsia="zh-CN"/>
              </w:rPr>
              <w:t>an emergency</w:t>
            </w:r>
            <w:r>
              <w:rPr>
                <w:rFonts w:hint="eastAsia" w:ascii="Times New Roman" w:hAnsi="Times New Roman" w:eastAsia="等线" w:cs="Times New Roman"/>
                <w:b/>
                <w:color w:val="FF0000"/>
                <w:sz w:val="22"/>
                <w:szCs w:val="22"/>
              </w:rPr>
              <w:t xml:space="preserve"> event; or</w:t>
            </w:r>
          </w:p>
          <w:p>
            <w:pPr>
              <w:tabs>
                <w:tab w:val="left" w:pos="1276"/>
              </w:tabs>
              <w:adjustRightInd w:val="0"/>
              <w:snapToGrid w:val="0"/>
              <w:spacing w:before="60" w:after="60"/>
              <w:rPr>
                <w:rFonts w:hint="default" w:ascii="Times New Roman" w:hAnsi="Times New Roman" w:cs="Times New Roman"/>
                <w:sz w:val="28"/>
                <w:szCs w:val="28"/>
                <w:vertAlign w:val="baseline"/>
              </w:rPr>
            </w:pPr>
            <w:r>
              <w:rPr>
                <w:rFonts w:hint="eastAsia" w:ascii="Times New Roman" w:hAnsi="Times New Roman" w:eastAsia="等线" w:cs="Times New Roman"/>
                <w:b/>
                <w:color w:val="FF0000"/>
                <w:sz w:val="22"/>
                <w:szCs w:val="22"/>
              </w:rPr>
              <w:t>(vi)</w:t>
            </w:r>
            <w:r>
              <w:rPr>
                <w:rFonts w:hint="eastAsia" w:ascii="Times New Roman" w:hAnsi="Times New Roman" w:eastAsia="等线" w:cs="Times New Roman"/>
                <w:b/>
                <w:color w:val="FF0000"/>
                <w:sz w:val="22"/>
                <w:szCs w:val="22"/>
              </w:rPr>
              <w:tab/>
            </w:r>
            <w:r>
              <w:rPr>
                <w:rFonts w:hint="eastAsia" w:ascii="Times New Roman" w:hAnsi="Times New Roman" w:eastAsia="等线" w:cs="Times New Roman"/>
                <w:b/>
                <w:color w:val="FF0000"/>
                <w:sz w:val="22"/>
                <w:szCs w:val="22"/>
              </w:rPr>
              <w:t>committing any other act that violates the Exchange’s rules on program trading.</w:t>
            </w:r>
          </w:p>
        </w:tc>
        <w:tc>
          <w:tcPr>
            <w:tcW w:w="6937" w:type="dxa"/>
            <w:vAlign w:val="top"/>
          </w:tcPr>
          <w:p>
            <w:pPr>
              <w:tabs>
                <w:tab w:val="left" w:pos="1276"/>
              </w:tabs>
              <w:adjustRightInd w:val="0"/>
              <w:snapToGrid w:val="0"/>
              <w:spacing w:before="60" w:after="60"/>
              <w:rPr>
                <w:rFonts w:hint="default" w:ascii="Times New Roman" w:hAnsi="Times New Roman"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7" w:type="dxa"/>
            <w:vAlign w:val="top"/>
          </w:tcPr>
          <w:p>
            <w:pPr>
              <w:tabs>
                <w:tab w:val="left" w:pos="1276"/>
              </w:tabs>
              <w:adjustRightInd w:val="0"/>
              <w:snapToGrid w:val="0"/>
              <w:spacing w:before="60" w:after="60"/>
              <w:rPr>
                <w:rFonts w:hint="default" w:ascii="Times New Roman" w:hAnsi="Times New Roman" w:cs="Times New Roman"/>
                <w:b/>
                <w:bCs/>
                <w:color w:val="FF0000"/>
                <w:sz w:val="28"/>
                <w:szCs w:val="28"/>
                <w:vertAlign w:val="baseline"/>
              </w:rPr>
            </w:pPr>
            <w:bookmarkStart w:id="0" w:name="_GoBack"/>
            <w:r>
              <w:rPr>
                <w:rFonts w:ascii="Times New Roman" w:hAnsi="Times New Roman" w:eastAsia="等线" w:cs="Times New Roman"/>
                <w:b/>
                <w:color w:val="FF0000"/>
                <w:sz w:val="22"/>
                <w:szCs w:val="22"/>
              </w:rPr>
              <w:t>Article</w:t>
            </w:r>
            <w:r>
              <w:rPr>
                <w:rFonts w:hint="default" w:ascii="Times New Roman" w:hAnsi="Times New Roman" w:eastAsia="等线" w:cs="Times New Roman"/>
                <w:b/>
                <w:color w:val="FF0000"/>
                <w:sz w:val="22"/>
                <w:szCs w:val="22"/>
                <w:lang w:val="en-US"/>
              </w:rPr>
              <w:t>7</w:t>
            </w:r>
            <w:r>
              <w:rPr>
                <w:rFonts w:hint="eastAsia" w:ascii="Times New Roman" w:hAnsi="Times New Roman" w:eastAsia="等线" w:cs="Times New Roman"/>
                <w:b/>
                <w:color w:val="FF0000"/>
                <w:sz w:val="22"/>
                <w:szCs w:val="22"/>
                <w:lang w:val="en-US" w:eastAsia="zh-CN"/>
              </w:rPr>
              <w:t>7+X</w:t>
            </w:r>
            <w:bookmarkEnd w:id="0"/>
            <w:r>
              <w:rPr>
                <w:rFonts w:ascii="Times New Roman" w:hAnsi="Times New Roman" w:eastAsia="等线" w:cs="Times New Roman"/>
                <w:b/>
                <w:sz w:val="22"/>
                <w:szCs w:val="22"/>
              </w:rPr>
              <w:t xml:space="preserve"> </w:t>
            </w:r>
            <w:r>
              <w:rPr>
                <w:rFonts w:ascii="Times New Roman" w:hAnsi="Times New Roman" w:eastAsia="等线" w:cs="Times New Roman"/>
                <w:sz w:val="22"/>
                <w:szCs w:val="22"/>
              </w:rPr>
              <w:t xml:space="preserve">These </w:t>
            </w:r>
            <w:r>
              <w:rPr>
                <w:rFonts w:hint="eastAsia" w:ascii="Times New Roman" w:hAnsi="Times New Roman" w:eastAsia="等线" w:cs="Times New Roman"/>
                <w:sz w:val="22"/>
                <w:szCs w:val="22"/>
              </w:rPr>
              <w:t xml:space="preserve">Enforcement Rules </w:t>
            </w:r>
            <w:r>
              <w:rPr>
                <w:rFonts w:hint="default" w:ascii="Times New Roman" w:hAnsi="Times New Roman" w:eastAsia="等线" w:cs="Times New Roman"/>
                <w:sz w:val="22"/>
                <w:szCs w:val="22"/>
                <w:lang w:val="en-US"/>
              </w:rPr>
              <w:t>are</w:t>
            </w:r>
            <w:r>
              <w:rPr>
                <w:rFonts w:hint="eastAsia" w:ascii="Times New Roman" w:hAnsi="Times New Roman" w:eastAsia="等线" w:cs="Times New Roman"/>
                <w:sz w:val="22"/>
                <w:szCs w:val="22"/>
              </w:rPr>
              <w:t xml:space="preserve"> effect</w:t>
            </w:r>
            <w:r>
              <w:rPr>
                <w:rFonts w:hint="default" w:ascii="Times New Roman" w:hAnsi="Times New Roman" w:eastAsia="等线" w:cs="Times New Roman"/>
                <w:sz w:val="22"/>
                <w:szCs w:val="22"/>
                <w:lang w:val="en-US"/>
              </w:rPr>
              <w:t>ive</w:t>
            </w:r>
            <w:r>
              <w:rPr>
                <w:rFonts w:hint="eastAsia" w:ascii="Times New Roman" w:hAnsi="Times New Roman" w:eastAsia="等线" w:cs="Times New Roman"/>
                <w:sz w:val="22"/>
                <w:szCs w:val="22"/>
              </w:rPr>
              <w:t xml:space="preserve"> </w:t>
            </w:r>
            <w:r>
              <w:rPr>
                <w:rFonts w:ascii="Times New Roman" w:hAnsi="Times New Roman" w:eastAsia="等线" w:cs="Times New Roman"/>
                <w:sz w:val="22"/>
                <w:szCs w:val="22"/>
              </w:rPr>
              <w:t xml:space="preserve">as of </w:t>
            </w:r>
            <w:r>
              <w:rPr>
                <w:rFonts w:ascii="Times New Roman" w:hAnsi="Times New Roman" w:eastAsia="等线" w:cs="Times New Roman"/>
                <w:b/>
                <w:color w:val="FF0000"/>
                <w:sz w:val="22"/>
                <w:szCs w:val="22"/>
              </w:rPr>
              <w:t xml:space="preserve">XXXX XX, </w:t>
            </w:r>
            <w:r>
              <w:rPr>
                <w:rFonts w:hint="default" w:ascii="Times New Roman" w:hAnsi="Times New Roman" w:eastAsia="等线" w:cs="Times New Roman"/>
                <w:b/>
                <w:color w:val="FF0000"/>
                <w:sz w:val="22"/>
                <w:szCs w:val="22"/>
                <w:lang w:val="en-US"/>
              </w:rPr>
              <w:t>202</w:t>
            </w:r>
            <w:r>
              <w:rPr>
                <w:rFonts w:ascii="Times New Roman" w:hAnsi="Times New Roman" w:eastAsia="等线" w:cs="Times New Roman"/>
                <w:b/>
                <w:color w:val="FF0000"/>
                <w:sz w:val="22"/>
                <w:szCs w:val="22"/>
              </w:rPr>
              <w:t>X.</w:t>
            </w:r>
            <w:r>
              <w:rPr>
                <w:rFonts w:ascii="Times New Roman" w:hAnsi="Times New Roman" w:eastAsia="等线" w:cs="Times New Roman"/>
                <w:sz w:val="22"/>
                <w:szCs w:val="22"/>
              </w:rPr>
              <w:t xml:space="preserve"> </w:t>
            </w:r>
            <w:r>
              <w:rPr>
                <w:rFonts w:hint="default" w:ascii="Times New Roman" w:hAnsi="Times New Roman" w:eastAsia="等线" w:cs="Times New Roman"/>
                <w:dstrike/>
                <w:sz w:val="22"/>
                <w:szCs w:val="22"/>
                <w:lang w:val="en-US"/>
              </w:rPr>
              <w:t>January</w:t>
            </w:r>
            <w:r>
              <w:rPr>
                <w:rFonts w:ascii="Times New Roman" w:hAnsi="Times New Roman" w:eastAsia="等线" w:cs="Times New Roman"/>
                <w:dstrike/>
                <w:sz w:val="22"/>
                <w:szCs w:val="22"/>
              </w:rPr>
              <w:t xml:space="preserve"> 2</w:t>
            </w:r>
            <w:r>
              <w:rPr>
                <w:rFonts w:hint="default" w:ascii="Times New Roman" w:hAnsi="Times New Roman" w:eastAsia="等线" w:cs="Times New Roman"/>
                <w:dstrike/>
                <w:sz w:val="22"/>
                <w:szCs w:val="22"/>
                <w:lang w:val="en-US"/>
              </w:rPr>
              <w:t>7</w:t>
            </w:r>
            <w:r>
              <w:rPr>
                <w:rFonts w:ascii="Times New Roman" w:hAnsi="Times New Roman" w:eastAsia="等线" w:cs="Times New Roman"/>
                <w:dstrike/>
                <w:sz w:val="22"/>
                <w:szCs w:val="22"/>
              </w:rPr>
              <w:t>, 202</w:t>
            </w:r>
            <w:r>
              <w:rPr>
                <w:rFonts w:hint="default" w:ascii="Times New Roman" w:hAnsi="Times New Roman" w:eastAsia="等线" w:cs="Times New Roman"/>
                <w:dstrike/>
                <w:sz w:val="22"/>
                <w:szCs w:val="22"/>
                <w:lang w:val="en-US"/>
              </w:rPr>
              <w:t>5</w:t>
            </w:r>
            <w:r>
              <w:rPr>
                <w:rFonts w:ascii="Times New Roman" w:hAnsi="Times New Roman" w:eastAsia="等线" w:cs="Times New Roman"/>
                <w:dstrike/>
                <w:sz w:val="22"/>
                <w:szCs w:val="22"/>
              </w:rPr>
              <w:t>.</w:t>
            </w:r>
          </w:p>
        </w:tc>
        <w:tc>
          <w:tcPr>
            <w:tcW w:w="6937" w:type="dxa"/>
            <w:vAlign w:val="top"/>
          </w:tcPr>
          <w:p>
            <w:pPr>
              <w:adjustRightInd w:val="0"/>
              <w:snapToGrid w:val="0"/>
              <w:spacing w:before="60" w:after="60"/>
              <w:rPr>
                <w:rFonts w:hint="default" w:ascii="Times New Roman" w:hAnsi="Times New Roman" w:cs="Times New Roman"/>
                <w:sz w:val="28"/>
                <w:szCs w:val="28"/>
                <w:vertAlign w:val="baseline"/>
              </w:rPr>
            </w:pPr>
            <w:r>
              <w:rPr>
                <w:rFonts w:ascii="Times New Roman" w:hAnsi="Times New Roman" w:eastAsia="等线" w:cs="Times New Roman"/>
                <w:b/>
                <w:sz w:val="22"/>
                <w:szCs w:val="22"/>
              </w:rPr>
              <w:t>Article</w:t>
            </w:r>
            <w:r>
              <w:rPr>
                <w:rFonts w:hint="default" w:ascii="Times New Roman" w:hAnsi="Times New Roman" w:eastAsia="等线" w:cs="Times New Roman"/>
                <w:b/>
                <w:sz w:val="22"/>
                <w:szCs w:val="22"/>
                <w:lang w:val="en-US"/>
              </w:rPr>
              <w:t>77</w:t>
            </w:r>
            <w:r>
              <w:rPr>
                <w:rFonts w:ascii="Times New Roman" w:hAnsi="Times New Roman" w:eastAsia="等线" w:cs="Times New Roman"/>
                <w:b/>
                <w:sz w:val="22"/>
                <w:szCs w:val="22"/>
              </w:rPr>
              <w:t xml:space="preserve"> </w:t>
            </w:r>
            <w:r>
              <w:rPr>
                <w:rFonts w:hint="eastAsia" w:ascii="Times New Roman" w:hAnsi="Times New Roman" w:eastAsia="等线" w:cs="Times New Roman"/>
                <w:sz w:val="22"/>
                <w:szCs w:val="22"/>
              </w:rPr>
              <w:t>These Enforcement Rules are effective as of January 27, 2025.</w:t>
            </w:r>
          </w:p>
        </w:tc>
      </w:tr>
    </w:tbl>
    <w:p>
      <w:pPr>
        <w:widowControl/>
        <w:snapToGrid w:val="0"/>
        <w:spacing w:after="312" w:afterLines="100" w:line="276" w:lineRule="auto"/>
        <w:jc w:val="left"/>
        <w:rPr>
          <w:rFonts w:ascii="Times New Roman" w:hAnsi="Times New Roman" w:eastAsia="宋体" w:cs="Times New Roman"/>
          <w:kern w:val="0"/>
          <w:sz w:val="30"/>
          <w:szCs w:val="30"/>
        </w:rPr>
      </w:pPr>
    </w:p>
    <w:sectPr>
      <w:headerReference r:id="rId3" w:type="default"/>
      <w:footerReference r:id="rId4" w:type="default"/>
      <w:pgSz w:w="16838" w:h="11906"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 w:name="等线">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50E5"/>
    <w:rsid w:val="00515DFE"/>
    <w:rsid w:val="00566D2D"/>
    <w:rsid w:val="005B79D5"/>
    <w:rsid w:val="00764CF7"/>
    <w:rsid w:val="0077306E"/>
    <w:rsid w:val="00785667"/>
    <w:rsid w:val="007A4F4F"/>
    <w:rsid w:val="008370DC"/>
    <w:rsid w:val="00857215"/>
    <w:rsid w:val="0086407D"/>
    <w:rsid w:val="00884DAF"/>
    <w:rsid w:val="00894BF3"/>
    <w:rsid w:val="00991787"/>
    <w:rsid w:val="009C63D4"/>
    <w:rsid w:val="00AF1373"/>
    <w:rsid w:val="00B11779"/>
    <w:rsid w:val="00B247E4"/>
    <w:rsid w:val="00B45C2E"/>
    <w:rsid w:val="00C00DD9"/>
    <w:rsid w:val="00C43169"/>
    <w:rsid w:val="00C85448"/>
    <w:rsid w:val="00C91136"/>
    <w:rsid w:val="00CE02C2"/>
    <w:rsid w:val="00D845C3"/>
    <w:rsid w:val="00DE2479"/>
    <w:rsid w:val="00F21C76"/>
    <w:rsid w:val="1ABFAA58"/>
    <w:rsid w:val="1EBD4440"/>
    <w:rsid w:val="26EFE514"/>
    <w:rsid w:val="327FBF7E"/>
    <w:rsid w:val="385E52C5"/>
    <w:rsid w:val="399ABD36"/>
    <w:rsid w:val="633F4928"/>
    <w:rsid w:val="67EEF807"/>
    <w:rsid w:val="6FAD873C"/>
    <w:rsid w:val="74FF9832"/>
    <w:rsid w:val="79DF079B"/>
    <w:rsid w:val="7BC5C1A8"/>
    <w:rsid w:val="7BFFD199"/>
    <w:rsid w:val="7DDB41E1"/>
    <w:rsid w:val="7EEFB68B"/>
    <w:rsid w:val="7EF95531"/>
    <w:rsid w:val="7F7DBD5B"/>
    <w:rsid w:val="7FDF6284"/>
    <w:rsid w:val="A7BBCA1C"/>
    <w:rsid w:val="AFF9638B"/>
    <w:rsid w:val="B74DBCBD"/>
    <w:rsid w:val="BB2D4155"/>
    <w:rsid w:val="BFFDACC6"/>
    <w:rsid w:val="BFFEDE48"/>
    <w:rsid w:val="BFFF9BCC"/>
    <w:rsid w:val="CFBEB38C"/>
    <w:rsid w:val="D3EFDB2B"/>
    <w:rsid w:val="E5C70A53"/>
    <w:rsid w:val="EDBE215C"/>
    <w:rsid w:val="EEE772E8"/>
    <w:rsid w:val="EFE780B0"/>
    <w:rsid w:val="F7FDF6F0"/>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footer"/>
    <w:basedOn w:val="1"/>
    <w:link w:val="12"/>
    <w:unhideWhenUsed/>
    <w:qFormat/>
    <w:uiPriority w:val="99"/>
    <w:pPr>
      <w:tabs>
        <w:tab w:val="center" w:pos="4153"/>
        <w:tab w:val="right" w:pos="8306"/>
      </w:tabs>
      <w:snapToGrid w:val="0"/>
      <w:jc w:val="left"/>
    </w:pPr>
    <w:rPr>
      <w:rFonts w:ascii="Calibri" w:hAnsi="Calibri" w:eastAsia="宋体" w:cs="Times New Roman"/>
      <w:sz w:val="18"/>
      <w:szCs w:val="18"/>
      <w:lang w:val="zh-CN" w:eastAsia="zh-CN"/>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eastAsia="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日期 字符"/>
    <w:basedOn w:val="7"/>
    <w:link w:val="2"/>
    <w:semiHidden/>
    <w:qFormat/>
    <w:uiPriority w:val="99"/>
  </w:style>
  <w:style w:type="character" w:customStyle="1" w:styleId="9">
    <w:name w:val="页眉 字符"/>
    <w:basedOn w:val="7"/>
    <w:semiHidden/>
    <w:qFormat/>
    <w:uiPriority w:val="99"/>
    <w:rPr>
      <w:sz w:val="18"/>
      <w:szCs w:val="18"/>
    </w:rPr>
  </w:style>
  <w:style w:type="character" w:customStyle="1" w:styleId="10">
    <w:name w:val="页眉 字符1"/>
    <w:link w:val="4"/>
    <w:qFormat/>
    <w:uiPriority w:val="99"/>
    <w:rPr>
      <w:rFonts w:ascii="Calibri" w:hAnsi="Calibri" w:eastAsia="宋体" w:cs="Times New Roman"/>
      <w:sz w:val="18"/>
      <w:szCs w:val="18"/>
      <w:lang w:val="zh-CN" w:eastAsia="zh-CN"/>
    </w:rPr>
  </w:style>
  <w:style w:type="character" w:customStyle="1" w:styleId="11">
    <w:name w:val="页脚 字符"/>
    <w:basedOn w:val="7"/>
    <w:semiHidden/>
    <w:qFormat/>
    <w:uiPriority w:val="99"/>
    <w:rPr>
      <w:sz w:val="18"/>
      <w:szCs w:val="18"/>
    </w:rPr>
  </w:style>
  <w:style w:type="character" w:customStyle="1" w:styleId="12">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2800</Words>
  <Characters>15964</Characters>
  <Lines>133</Lines>
  <Paragraphs>37</Paragraphs>
  <TotalTime>0</TotalTime>
  <ScaleCrop>false</ScaleCrop>
  <LinksUpToDate>false</LinksUpToDate>
  <CharactersWithSpaces>18727</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2024-05-13T19:23:00Z</dcterms:created>
  <dc:creator>孙欣鹏</dc:creator>
  <cp:lastModifiedBy>lin.chenyu</cp:lastModifiedBy>
  <dcterms:modified xsi:type="dcterms:W3CDTF">2026-10-09T14:39:10Z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