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spacing w:line="256" w:lineRule="auto"/>
        <w:jc w:val="left"/>
        <w:rPr>
          <w:rFonts w:hint="eastAsia" w:ascii="Times New Roman" w:hAnsi="Times New Roman" w:eastAsia="方正大标宋简体" w:cs="Times New Roman"/>
          <w:b/>
          <w:bCs/>
          <w:sz w:val="30"/>
          <w:szCs w:val="30"/>
          <w:lang w:val="en-US" w:eastAsia="zh-CN"/>
        </w:rPr>
      </w:pPr>
      <w:r>
        <w:rPr>
          <w:rFonts w:hint="eastAsia" w:ascii="Times New Roman" w:hAnsi="Times New Roman" w:eastAsia="方正大标宋简体" w:cs="Times New Roman"/>
          <w:b/>
          <w:bCs/>
          <w:sz w:val="30"/>
          <w:szCs w:val="30"/>
        </w:rPr>
        <w:t xml:space="preserve">Annex </w:t>
      </w:r>
      <w:r>
        <w:rPr>
          <w:rFonts w:hint="eastAsia" w:ascii="Times New Roman" w:hAnsi="Times New Roman" w:eastAsia="方正大标宋简体" w:cs="Times New Roman"/>
          <w:b/>
          <w:bCs/>
          <w:sz w:val="30"/>
          <w:szCs w:val="30"/>
          <w:lang w:val="en-US" w:eastAsia="zh-CN"/>
        </w:rPr>
        <w:t>1</w:t>
      </w:r>
    </w:p>
    <w:p>
      <w:pPr>
        <w:widowControl/>
        <w:snapToGrid w:val="0"/>
        <w:spacing w:line="256" w:lineRule="auto"/>
        <w:jc w:val="left"/>
        <w:rPr>
          <w:rFonts w:ascii="Times New Roman" w:hAnsi="Times New Roman" w:eastAsia="方正大标宋简体" w:cs="Times New Roman"/>
          <w:b/>
          <w:bCs/>
          <w:sz w:val="36"/>
          <w:szCs w:val="36"/>
        </w:rPr>
      </w:pPr>
    </w:p>
    <w:p>
      <w:pPr>
        <w:widowControl/>
        <w:snapToGrid w:val="0"/>
        <w:spacing w:line="256" w:lineRule="auto"/>
        <w:jc w:val="center"/>
        <w:rPr>
          <w:rFonts w:ascii="Times New Roman" w:hAnsi="Times New Roman" w:eastAsia="方正大标宋简体" w:cs="Times New Roman"/>
          <w:b/>
          <w:bCs/>
          <w:i/>
          <w:iCs/>
          <w:sz w:val="36"/>
          <w:szCs w:val="36"/>
        </w:rPr>
      </w:pPr>
      <w:r>
        <w:rPr>
          <w:rFonts w:ascii="Times New Roman" w:hAnsi="Times New Roman" w:eastAsia="方正大标宋简体" w:cs="Times New Roman"/>
          <w:b/>
          <w:bCs/>
          <w:sz w:val="36"/>
          <w:szCs w:val="36"/>
        </w:rPr>
        <w:t>Comparative Table</w:t>
      </w:r>
      <w:r>
        <w:rPr>
          <w:rFonts w:hint="eastAsia" w:ascii="Times New Roman" w:hAnsi="Times New Roman" w:eastAsia="方正大标宋简体" w:cs="Times New Roman"/>
          <w:b/>
          <w:bCs/>
          <w:sz w:val="36"/>
          <w:szCs w:val="36"/>
        </w:rPr>
        <w:t xml:space="preserve"> to </w:t>
      </w:r>
      <w:r>
        <w:rPr>
          <w:rFonts w:hint="eastAsia" w:ascii="Times New Roman" w:hAnsi="Times New Roman" w:eastAsia="方正大标宋简体" w:cs="Times New Roman"/>
          <w:b/>
          <w:bCs/>
          <w:i/>
          <w:iCs/>
          <w:sz w:val="36"/>
          <w:szCs w:val="36"/>
        </w:rPr>
        <w:t>Administration of Accounts Involving Actual Control Relationship Rules of the Shanghai Futures Exchange</w:t>
      </w:r>
    </w:p>
    <w:p>
      <w:pPr>
        <w:widowControl/>
        <w:snapToGrid w:val="0"/>
        <w:spacing w:line="256" w:lineRule="auto"/>
        <w:jc w:val="left"/>
        <w:rPr>
          <w:rFonts w:ascii="Times New Roman" w:hAnsi="Times New Roman" w:eastAsia="宋体" w:cs="Times New Roman"/>
          <w:sz w:val="28"/>
          <w:szCs w:val="28"/>
          <w:lang w:bidi="ar"/>
        </w:rPr>
      </w:pPr>
    </w:p>
    <w:p>
      <w:pPr>
        <w:widowControl/>
        <w:snapToGrid w:val="0"/>
        <w:spacing w:line="256" w:lineRule="auto"/>
        <w:jc w:val="left"/>
        <w:rPr>
          <w:rFonts w:ascii="Times New Roman" w:hAnsi="Times New Roman" w:cs="Times New Roman"/>
          <w:sz w:val="28"/>
          <w:szCs w:val="28"/>
        </w:rPr>
      </w:pPr>
      <w:r>
        <w:rPr>
          <w:rFonts w:ascii="Times New Roman" w:hAnsi="Times New Roman" w:eastAsia="宋体" w:cs="Times New Roman"/>
          <w:sz w:val="28"/>
          <w:szCs w:val="28"/>
          <w:lang w:bidi="ar"/>
        </w:rPr>
        <w:t>Note: Bolded sections in red are newly added and sections with double strikethroughs are deleted.</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7"/>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shd w:val="clear" w:color="auto" w:fill="5B9BD5" w:themeFill="accent1"/>
          </w:tcPr>
          <w:p>
            <w:pPr>
              <w:spacing w:line="560" w:lineRule="exact"/>
              <w:jc w:val="center"/>
              <w:rPr>
                <w:rFonts w:hint="default" w:ascii="Times New Roman" w:hAnsi="Times New Roman" w:cs="Times New Roman" w:eastAsiaTheme="minorEastAsia"/>
                <w:b/>
                <w:bCs/>
                <w:color w:val="FFFFFF" w:themeColor="background1"/>
                <w:sz w:val="32"/>
                <w:szCs w:val="32"/>
                <w:lang w:val="en-US" w:eastAsia="zh-CN"/>
                <w14:textFill>
                  <w14:solidFill>
                    <w14:schemeClr w14:val="bg1"/>
                  </w14:solidFill>
                </w14:textFill>
              </w:rPr>
            </w:pPr>
            <w:r>
              <w:rPr>
                <w:rFonts w:hint="eastAsia" w:ascii="Times New Roman" w:hAnsi="Times New Roman" w:cs="Times New Roman"/>
                <w:b/>
                <w:bCs/>
                <w:color w:val="FFFFFF" w:themeColor="background1"/>
                <w:sz w:val="32"/>
                <w:szCs w:val="32"/>
                <w:lang w:val="en-US" w:eastAsia="zh-CN"/>
                <w14:textFill>
                  <w14:solidFill>
                    <w14:schemeClr w14:val="bg1"/>
                  </w14:solidFill>
                </w14:textFill>
              </w:rPr>
              <w:t>Revised</w:t>
            </w:r>
          </w:p>
        </w:tc>
        <w:tc>
          <w:tcPr>
            <w:tcW w:w="7087" w:type="dxa"/>
            <w:shd w:val="clear" w:color="auto" w:fill="5B9BD5" w:themeFill="accent1"/>
          </w:tcPr>
          <w:p>
            <w:pPr>
              <w:spacing w:line="560" w:lineRule="exact"/>
              <w:jc w:val="center"/>
              <w:rPr>
                <w:rFonts w:ascii="Times New Roman" w:hAnsi="Times New Roman" w:cs="Times New Roman"/>
                <w:b/>
                <w:bCs/>
                <w:color w:val="FFFFFF" w:themeColor="background1"/>
                <w:sz w:val="32"/>
                <w:szCs w:val="32"/>
                <w14:textFill>
                  <w14:solidFill>
                    <w14:schemeClr w14:val="bg1"/>
                  </w14:solidFill>
                </w14:textFill>
              </w:rPr>
            </w:pPr>
            <w:r>
              <w:rPr>
                <w:rFonts w:hint="eastAsia" w:ascii="Times New Roman" w:hAnsi="Times New Roman" w:cs="Times New Roman"/>
                <w:b/>
                <w:bCs/>
                <w:color w:val="FFFFFF" w:themeColor="background1"/>
                <w:sz w:val="32"/>
                <w:szCs w:val="32"/>
                <w14:textFill>
                  <w14:solidFill>
                    <w14:schemeClr w14:val="bg1"/>
                  </w14:solidFill>
                </w14:textFill>
              </w:rPr>
              <w:t>Current Version (Effective on August 8, 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vAlign w:val="top"/>
          </w:tcPr>
          <w:p>
            <w:pPr>
              <w:tabs>
                <w:tab w:val="left" w:pos="1204"/>
              </w:tabs>
              <w:snapToGrid w:val="0"/>
              <w:spacing w:before="120" w:beforeLines="50" w:after="120" w:afterLines="50"/>
              <w:rPr>
                <w:rFonts w:ascii="Times New Roman" w:hAnsi="Times New Roman"/>
              </w:rPr>
            </w:pPr>
            <w:r>
              <w:rPr>
                <w:rFonts w:ascii="Times New Roman" w:hAnsi="Times New Roman"/>
                <w:b/>
                <w:bCs/>
              </w:rPr>
              <w:t>Article 5</w:t>
            </w:r>
            <w:r>
              <w:rPr>
                <w:rFonts w:ascii="Times New Roman" w:hAnsi="Times New Roman"/>
              </w:rPr>
              <w:tab/>
            </w:r>
            <w:r>
              <w:rPr>
                <w:rFonts w:ascii="Times New Roman" w:hAnsi="Times New Roman"/>
              </w:rPr>
              <w:t>By the principle of “substance over form,” a person is deemed to have actual control over the futures account of another person during futures trading if the first person:</w:t>
            </w:r>
          </w:p>
          <w:p>
            <w:pPr>
              <w:tabs>
                <w:tab w:val="left" w:pos="560"/>
              </w:tabs>
              <w:snapToGrid w:val="0"/>
              <w:spacing w:before="120" w:beforeLines="50" w:after="120" w:afterLines="50"/>
              <w:rPr>
                <w:rFonts w:ascii="Times New Roman" w:hAnsi="Times New Roman"/>
              </w:rPr>
            </w:pPr>
            <w:r>
              <w:rPr>
                <w:rFonts w:ascii="Times New Roman" w:hAnsi="Times New Roman"/>
              </w:rPr>
              <w:t>(i)</w:t>
            </w:r>
            <w:r>
              <w:rPr>
                <w:rFonts w:ascii="Times New Roman" w:hAnsi="Times New Roman"/>
              </w:rPr>
              <w:tab/>
            </w:r>
            <w:r>
              <w:rPr>
                <w:rFonts w:ascii="Times New Roman" w:hAnsi="Times New Roman"/>
              </w:rPr>
              <w:t>is the controlling shareholder of the latter person, defined as any person whose contribution represents 50% or more of the total contribution in the latter person, or any shareholder who holds 50% or more of the total shares of the latter person, or any shareholder who, despite having a contribution or shareholding at less than 50%, can nevertheless exercise the voting rights granted by its contribution or shareholding to significantly influence the decisions of the shareholders’ meeting or the shareholders’ general meeting of the latter person;</w:t>
            </w:r>
          </w:p>
          <w:p>
            <w:pPr>
              <w:tabs>
                <w:tab w:val="left" w:pos="560"/>
              </w:tabs>
              <w:snapToGrid w:val="0"/>
              <w:spacing w:before="120" w:beforeLines="50" w:after="120" w:afterLines="50"/>
              <w:rPr>
                <w:rFonts w:ascii="Times New Roman" w:hAnsi="Times New Roman"/>
              </w:rPr>
            </w:pPr>
            <w:r>
              <w:rPr>
                <w:rFonts w:ascii="Times New Roman" w:hAnsi="Times New Roman"/>
              </w:rPr>
              <w:t>(ii)</w:t>
            </w:r>
            <w:r>
              <w:rPr>
                <w:rFonts w:ascii="Times New Roman" w:hAnsi="Times New Roman"/>
              </w:rPr>
              <w:tab/>
            </w:r>
            <w:r>
              <w:rPr>
                <w:rFonts w:ascii="Times New Roman" w:hAnsi="Times New Roman"/>
              </w:rPr>
              <w:t>is the authorized account agent, designated trader, funds transfer agent, settlement statement verifier, or any other type of agent engaged by the latter person;</w:t>
            </w:r>
          </w:p>
          <w:p>
            <w:pPr>
              <w:tabs>
                <w:tab w:val="left" w:pos="560"/>
              </w:tabs>
              <w:snapToGrid w:val="0"/>
              <w:spacing w:before="120" w:beforeLines="50" w:after="120" w:afterLines="50"/>
              <w:rPr>
                <w:rFonts w:ascii="Times New Roman" w:hAnsi="Times New Roman"/>
              </w:rPr>
            </w:pPr>
            <w:r>
              <w:rPr>
                <w:rFonts w:ascii="Times New Roman" w:hAnsi="Times New Roman"/>
              </w:rPr>
              <w:t>(iii)</w:t>
            </w:r>
            <w:r>
              <w:rPr>
                <w:rFonts w:ascii="Times New Roman" w:hAnsi="Times New Roman"/>
              </w:rPr>
              <w:tab/>
            </w:r>
            <w:r>
              <w:rPr>
                <w:rFonts w:ascii="Times New Roman" w:hAnsi="Times New Roman"/>
              </w:rPr>
              <w:t>is the legal representative, principal partner, director, supervisor, senior manager, etc. of the latter person, or shares the same legal representative, principal partner, director, supervisor, or senior manager, etc. with the latter person;</w:t>
            </w:r>
          </w:p>
          <w:p>
            <w:pPr>
              <w:tabs>
                <w:tab w:val="left" w:pos="560"/>
              </w:tabs>
              <w:snapToGrid w:val="0"/>
              <w:spacing w:before="120" w:beforeLines="50" w:after="120" w:afterLines="50"/>
              <w:rPr>
                <w:rFonts w:ascii="Times New Roman" w:hAnsi="Times New Roman"/>
              </w:rPr>
            </w:pPr>
            <w:r>
              <w:rPr>
                <w:rFonts w:ascii="Times New Roman" w:hAnsi="Times New Roman"/>
              </w:rPr>
              <w:t>(iv)</w:t>
            </w:r>
            <w:r>
              <w:rPr>
                <w:rFonts w:ascii="Times New Roman" w:hAnsi="Times New Roman"/>
              </w:rPr>
              <w:tab/>
            </w:r>
            <w:r>
              <w:rPr>
                <w:rFonts w:ascii="Times New Roman" w:hAnsi="Times New Roman"/>
              </w:rPr>
              <w:t>is the spouse of the latter person;</w:t>
            </w:r>
          </w:p>
          <w:p>
            <w:pPr>
              <w:tabs>
                <w:tab w:val="left" w:pos="560"/>
              </w:tabs>
              <w:snapToGrid w:val="0"/>
              <w:spacing w:before="120" w:beforeLines="50" w:after="120" w:afterLines="50"/>
              <w:rPr>
                <w:rFonts w:ascii="Times New Roman" w:hAnsi="Times New Roman"/>
              </w:rPr>
            </w:pPr>
            <w:r>
              <w:rPr>
                <w:rFonts w:ascii="Times New Roman" w:hAnsi="Times New Roman"/>
              </w:rPr>
              <w:t>(v)</w:t>
            </w:r>
            <w:r>
              <w:rPr>
                <w:rFonts w:ascii="Times New Roman" w:hAnsi="Times New Roman"/>
              </w:rPr>
              <w:tab/>
            </w:r>
            <w:r>
              <w:rPr>
                <w:rFonts w:ascii="Times New Roman" w:hAnsi="Times New Roman"/>
              </w:rPr>
              <w:t>is a parent, child, or sibling of the latter person and has the decision-making power or a significant influence over the day-to-day trades made through the futures account of the latter person;</w:t>
            </w:r>
          </w:p>
          <w:p>
            <w:pPr>
              <w:tabs>
                <w:tab w:val="left" w:pos="567"/>
              </w:tabs>
              <w:snapToGrid w:val="0"/>
              <w:spacing w:before="120" w:beforeLines="50" w:after="120" w:afterLines="50"/>
              <w:rPr>
                <w:rFonts w:ascii="Times New Roman" w:hAnsi="Times New Roman"/>
              </w:rPr>
            </w:pPr>
            <w:r>
              <w:rPr>
                <w:rFonts w:ascii="Times New Roman" w:hAnsi="Times New Roman"/>
              </w:rPr>
              <w:t>(vi)</w:t>
            </w:r>
            <w:r>
              <w:rPr>
                <w:rFonts w:ascii="Times New Roman" w:hAnsi="Times New Roman"/>
              </w:rPr>
              <w:tab/>
            </w:r>
            <w:r>
              <w:rPr>
                <w:rFonts w:ascii="Times New Roman" w:hAnsi="Times New Roman"/>
              </w:rPr>
              <w:t>has the decision-making power or a significant influence over the day-to-day trades made through the futures account of the latter person by virtue of investment, contractual or financing arrangement, or other arrangements;</w:t>
            </w:r>
          </w:p>
          <w:p>
            <w:pPr>
              <w:tabs>
                <w:tab w:val="left" w:pos="567"/>
              </w:tabs>
              <w:snapToGrid w:val="0"/>
              <w:spacing w:before="120" w:beforeLines="50" w:after="120" w:afterLines="50"/>
              <w:rPr>
                <w:rFonts w:ascii="Times New Roman" w:hAnsi="Times New Roman"/>
              </w:rPr>
            </w:pPr>
            <w:r>
              <w:rPr>
                <w:rFonts w:ascii="Times New Roman" w:hAnsi="Times New Roman"/>
                <w:color w:val="FF0000"/>
              </w:rPr>
              <w:t>(vii)</w:t>
            </w:r>
            <w:r>
              <w:rPr>
                <w:rFonts w:ascii="Times New Roman" w:hAnsi="Times New Roman"/>
                <w:color w:val="FF0000"/>
              </w:rPr>
              <w:tab/>
            </w:r>
            <w:r>
              <w:rPr>
                <w:rFonts w:hint="eastAsia" w:ascii="Times New Roman" w:hAnsi="Times New Roman"/>
                <w:color w:val="FF0000"/>
                <w:lang w:eastAsia="zh-CN"/>
              </w:rPr>
              <w:t xml:space="preserve">has identical trading behaviors </w:t>
            </w:r>
            <w:r>
              <w:rPr>
                <w:rFonts w:ascii="Times New Roman" w:hAnsi="Times New Roman"/>
                <w:color w:val="FF0000"/>
              </w:rPr>
              <w:t>with the latter person and either person provides futures trading funds to the other person, or</w:t>
            </w:r>
            <w:r>
              <w:rPr>
                <w:rFonts w:hint="eastAsia" w:ascii="Times New Roman" w:hAnsi="Times New Roman"/>
                <w:color w:val="FF0000"/>
                <w:lang w:eastAsia="zh-CN"/>
              </w:rPr>
              <w:t xml:space="preserve"> the first person has identical</w:t>
            </w:r>
            <w:r>
              <w:rPr>
                <w:rFonts w:ascii="Times New Roman" w:hAnsi="Times New Roman"/>
                <w:color w:val="FF0000"/>
              </w:rPr>
              <w:t xml:space="preserve"> </w:t>
            </w:r>
            <w:r>
              <w:rPr>
                <w:rFonts w:hint="eastAsia" w:ascii="Times New Roman" w:hAnsi="Times New Roman"/>
                <w:color w:val="FF0000"/>
                <w:lang w:eastAsia="zh-CN"/>
              </w:rPr>
              <w:t xml:space="preserve">trading behaviors and </w:t>
            </w:r>
            <w:r>
              <w:rPr>
                <w:rFonts w:ascii="Times New Roman" w:hAnsi="Times New Roman"/>
                <w:color w:val="FF0000"/>
              </w:rPr>
              <w:t>trading terminal information</w:t>
            </w:r>
            <w:r>
              <w:rPr>
                <w:rFonts w:hint="eastAsia" w:ascii="Times New Roman" w:hAnsi="Times New Roman"/>
                <w:color w:val="FF0000"/>
                <w:lang w:eastAsia="zh-CN"/>
              </w:rPr>
              <w:t xml:space="preserve"> with</w:t>
            </w:r>
            <w:r>
              <w:rPr>
                <w:rFonts w:ascii="Times New Roman" w:hAnsi="Times New Roman"/>
                <w:color w:val="FF0000"/>
              </w:rPr>
              <w:t xml:space="preserve"> the latter</w:t>
            </w:r>
            <w:r>
              <w:rPr>
                <w:rFonts w:hint="eastAsia" w:ascii="Times New Roman" w:hAnsi="Times New Roman"/>
                <w:color w:val="FF0000"/>
                <w:lang w:eastAsia="zh-CN"/>
              </w:rPr>
              <w:t xml:space="preserve"> person</w:t>
            </w:r>
            <w:r>
              <w:rPr>
                <w:rFonts w:ascii="Times New Roman" w:hAnsi="Times New Roman"/>
                <w:color w:val="FF0000"/>
              </w:rPr>
              <w:t>;</w:t>
            </w:r>
          </w:p>
          <w:p>
            <w:pPr>
              <w:tabs>
                <w:tab w:val="left" w:pos="567"/>
              </w:tabs>
              <w:snapToGrid w:val="0"/>
              <w:spacing w:before="120" w:beforeLines="50" w:after="120" w:afterLines="50"/>
              <w:rPr>
                <w:rFonts w:ascii="Times New Roman" w:hAnsi="Times New Roman"/>
              </w:rPr>
            </w:pPr>
            <w:r>
              <w:rPr>
                <w:rFonts w:ascii="Times New Roman" w:hAnsi="Times New Roman"/>
              </w:rPr>
              <w:t>(vii</w:t>
            </w:r>
            <w:r>
              <w:rPr>
                <w:rFonts w:ascii="Times New Roman" w:hAnsi="Times New Roman"/>
                <w:color w:val="FF0000"/>
              </w:rPr>
              <w:t>i</w:t>
            </w:r>
            <w:r>
              <w:rPr>
                <w:rFonts w:ascii="Times New Roman" w:hAnsi="Times New Roman"/>
              </w:rPr>
              <w:t>)</w:t>
            </w:r>
            <w:r>
              <w:rPr>
                <w:rFonts w:ascii="Times New Roman" w:hAnsi="Times New Roman"/>
              </w:rPr>
              <w:tab/>
            </w:r>
            <w:r>
              <w:rPr>
                <w:rFonts w:ascii="Times New Roman" w:hAnsi="Times New Roman"/>
              </w:rPr>
              <w:t>has the decision-making power or a significant influence over the day-to-day trades made through two or more futures accounts of the latter person; or</w:t>
            </w:r>
          </w:p>
          <w:p>
            <w:pPr>
              <w:tabs>
                <w:tab w:val="left" w:pos="560"/>
              </w:tabs>
              <w:snapToGrid w:val="0"/>
              <w:spacing w:before="120" w:beforeLines="50" w:after="120" w:afterLines="50"/>
              <w:rPr>
                <w:rFonts w:ascii="Times New Roman" w:hAnsi="Times New Roman" w:cs="Times New Roman"/>
                <w:sz w:val="28"/>
                <w:szCs w:val="28"/>
              </w:rPr>
            </w:pPr>
            <w:r>
              <w:rPr>
                <w:rFonts w:ascii="Times New Roman" w:hAnsi="Times New Roman"/>
              </w:rPr>
              <w:t>(</w:t>
            </w:r>
            <w:r>
              <w:rPr>
                <w:rFonts w:ascii="Times New Roman" w:hAnsi="Times New Roman"/>
                <w:dstrike/>
              </w:rPr>
              <w:t>viii</w:t>
            </w:r>
            <w:r>
              <w:rPr>
                <w:rFonts w:ascii="Times New Roman" w:hAnsi="Times New Roman"/>
                <w:color w:val="FF0000"/>
              </w:rPr>
              <w:t>ix</w:t>
            </w:r>
            <w:r>
              <w:rPr>
                <w:rFonts w:ascii="Times New Roman" w:hAnsi="Times New Roman"/>
              </w:rPr>
              <w:t>)</w:t>
            </w:r>
            <w:r>
              <w:rPr>
                <w:rFonts w:ascii="Times New Roman" w:hAnsi="Times New Roman"/>
              </w:rPr>
              <w:tab/>
            </w:r>
            <w:r>
              <w:rPr>
                <w:rFonts w:ascii="Times New Roman" w:hAnsi="Times New Roman"/>
              </w:rPr>
              <w:t>is under any other situation prescribed by the China Securities Regulatory Commission (“CSRC”) or identified by the Exchange.</w:t>
            </w:r>
          </w:p>
        </w:tc>
        <w:tc>
          <w:tcPr>
            <w:tcW w:w="7087" w:type="dxa"/>
            <w:vAlign w:val="top"/>
          </w:tcPr>
          <w:p>
            <w:pPr>
              <w:tabs>
                <w:tab w:val="left" w:pos="1204"/>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b/>
                <w:bCs/>
              </w:rPr>
              <w:t>Article 5</w:t>
            </w:r>
            <w:r>
              <w:rPr>
                <w:rFonts w:ascii="Times New Roman" w:hAnsi="Times New Roman" w:eastAsia="宋体" w:cs="Times New Roman"/>
              </w:rPr>
              <w:tab/>
            </w:r>
            <w:r>
              <w:rPr>
                <w:rFonts w:ascii="Times New Roman" w:hAnsi="Times New Roman" w:eastAsia="宋体" w:cs="Times New Roman"/>
              </w:rPr>
              <w:t>By the principle of “substance over form,” a person is deemed to have actual control over the futures account of another person during futures trading if the first person:</w:t>
            </w:r>
          </w:p>
          <w:p>
            <w:pPr>
              <w:tabs>
                <w:tab w:val="left" w:pos="560"/>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(i)</w:t>
            </w:r>
            <w:r>
              <w:rPr>
                <w:rFonts w:ascii="Times New Roman" w:hAnsi="Times New Roman" w:eastAsia="宋体" w:cs="Times New Roman"/>
              </w:rPr>
              <w:tab/>
            </w:r>
            <w:r>
              <w:rPr>
                <w:rFonts w:ascii="Times New Roman" w:hAnsi="Times New Roman" w:eastAsia="宋体" w:cs="Times New Roman"/>
              </w:rPr>
              <w:t>is the controlling shareholder of the latter person, defined as any person whose contribution represents 50% or more of the total contribution in the latter person, or any shareholder who holds 50% or more of the total shares of the latter person, or any shareholder who, despite having a contribution or shareholding at less than 50%, can nevertheless exercise the voting rights granted by its contribution or shareholding to significantly influence the decisions of the shareholders’ meeting or the shareholders’ general meeting of the latter person;</w:t>
            </w:r>
          </w:p>
          <w:p>
            <w:pPr>
              <w:tabs>
                <w:tab w:val="left" w:pos="560"/>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(ii)</w:t>
            </w:r>
            <w:r>
              <w:rPr>
                <w:rFonts w:ascii="Times New Roman" w:hAnsi="Times New Roman" w:eastAsia="宋体" w:cs="Times New Roman"/>
              </w:rPr>
              <w:tab/>
            </w:r>
            <w:r>
              <w:rPr>
                <w:rFonts w:ascii="Times New Roman" w:hAnsi="Times New Roman" w:eastAsia="宋体" w:cs="Times New Roman"/>
              </w:rPr>
              <w:t>is the authorized account agent, designated trader, funds transfer agent, settlement statement verifier, or any other type of agent engaged by the latter person;</w:t>
            </w:r>
          </w:p>
          <w:p>
            <w:pPr>
              <w:tabs>
                <w:tab w:val="left" w:pos="560"/>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(iii)</w:t>
            </w:r>
            <w:r>
              <w:rPr>
                <w:rFonts w:ascii="Times New Roman" w:hAnsi="Times New Roman" w:eastAsia="宋体" w:cs="Times New Roman"/>
              </w:rPr>
              <w:tab/>
            </w:r>
            <w:r>
              <w:rPr>
                <w:rFonts w:ascii="Times New Roman" w:hAnsi="Times New Roman" w:eastAsia="宋体" w:cs="Times New Roman"/>
              </w:rPr>
              <w:t>is the legal representative, principal partner, director, supervisor, senior manager, etc. of the latter person, or shares the same legal representative, principal partner, director, supervisor, or senior manager, etc. with the latter person;</w:t>
            </w:r>
          </w:p>
          <w:p>
            <w:pPr>
              <w:tabs>
                <w:tab w:val="left" w:pos="560"/>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(iv)</w:t>
            </w:r>
            <w:r>
              <w:rPr>
                <w:rFonts w:ascii="Times New Roman" w:hAnsi="Times New Roman" w:eastAsia="宋体" w:cs="Times New Roman"/>
              </w:rPr>
              <w:tab/>
            </w:r>
            <w:r>
              <w:rPr>
                <w:rFonts w:ascii="Times New Roman" w:hAnsi="Times New Roman" w:eastAsia="宋体" w:cs="Times New Roman"/>
              </w:rPr>
              <w:t>is the spouse of the latter person;</w:t>
            </w:r>
          </w:p>
          <w:p>
            <w:pPr>
              <w:tabs>
                <w:tab w:val="left" w:pos="560"/>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(v)</w:t>
            </w:r>
            <w:r>
              <w:rPr>
                <w:rFonts w:ascii="Times New Roman" w:hAnsi="Times New Roman" w:eastAsia="宋体" w:cs="Times New Roman"/>
              </w:rPr>
              <w:tab/>
            </w:r>
            <w:r>
              <w:rPr>
                <w:rFonts w:ascii="Times New Roman" w:hAnsi="Times New Roman" w:eastAsia="宋体" w:cs="Times New Roman"/>
              </w:rPr>
              <w:t>is a parent, child, or sibling of the latter person and has the decision-making power or a significant influence over the day-to-day trades made through the futures account of the latter person;</w:t>
            </w:r>
          </w:p>
          <w:p>
            <w:pPr>
              <w:tabs>
                <w:tab w:val="left" w:pos="560"/>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(vi)</w:t>
            </w:r>
            <w:r>
              <w:rPr>
                <w:rFonts w:ascii="Times New Roman" w:hAnsi="Times New Roman" w:eastAsia="宋体" w:cs="Times New Roman"/>
              </w:rPr>
              <w:tab/>
            </w:r>
            <w:r>
              <w:rPr>
                <w:rFonts w:ascii="Times New Roman" w:hAnsi="Times New Roman" w:eastAsia="宋体" w:cs="Times New Roman"/>
              </w:rPr>
              <w:t>has the decision-making power or a significant influence over the day-to-day trades made through the futures account of the latter person by virtue of investment, contractual or financing arrangement, or other arrangements;</w:t>
            </w:r>
          </w:p>
          <w:p>
            <w:pPr>
              <w:tabs>
                <w:tab w:val="left" w:pos="560"/>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(vii)</w:t>
            </w:r>
            <w:r>
              <w:rPr>
                <w:rFonts w:ascii="Times New Roman" w:hAnsi="Times New Roman" w:eastAsia="宋体" w:cs="Times New Roman"/>
              </w:rPr>
              <w:tab/>
            </w:r>
            <w:r>
              <w:rPr>
                <w:rFonts w:ascii="Times New Roman" w:hAnsi="Times New Roman" w:eastAsia="宋体" w:cs="Times New Roman"/>
              </w:rPr>
              <w:t>has the decision-making power or a significant influence over the day-to-day trades made through two or more futures accounts of the latter person; or</w:t>
            </w:r>
          </w:p>
          <w:p>
            <w:pPr>
              <w:tabs>
                <w:tab w:val="left" w:pos="560"/>
              </w:tabs>
              <w:snapToGrid w:val="0"/>
              <w:spacing w:before="120" w:beforeLines="50" w:after="120" w:afterLines="50"/>
              <w:rPr>
                <w:rFonts w:ascii="Times New Roman" w:hAnsi="Times New Roman" w:cs="Times New Roman"/>
                <w:sz w:val="28"/>
                <w:szCs w:val="28"/>
              </w:rPr>
            </w:pPr>
            <w:r>
              <w:rPr>
                <w:rFonts w:ascii="Times New Roman" w:hAnsi="Times New Roman" w:eastAsia="宋体" w:cs="Times New Roman"/>
              </w:rPr>
              <w:t>(viii)</w:t>
            </w:r>
            <w:r>
              <w:rPr>
                <w:rFonts w:ascii="Times New Roman" w:hAnsi="Times New Roman" w:eastAsia="宋体" w:cs="Times New Roman"/>
              </w:rPr>
              <w:tab/>
            </w:r>
            <w:r>
              <w:rPr>
                <w:rFonts w:ascii="Times New Roman" w:hAnsi="Times New Roman" w:eastAsia="宋体" w:cs="Times New Roman"/>
              </w:rPr>
              <w:t>is under any other situation prescribed by the China Securities Regulatory Commission (“CSRC”) or identified by the Exchange.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vAlign w:val="top"/>
          </w:tcPr>
          <w:p>
            <w:pPr>
              <w:tabs>
                <w:tab w:val="left" w:pos="1204"/>
              </w:tabs>
              <w:snapToGrid w:val="0"/>
              <w:spacing w:before="120" w:beforeLines="50" w:after="120" w:afterLines="50"/>
              <w:rPr>
                <w:rFonts w:ascii="Times New Roman" w:hAnsi="Times New Roman"/>
              </w:rPr>
            </w:pPr>
            <w:r>
              <w:rPr>
                <w:rFonts w:ascii="Times New Roman" w:hAnsi="Times New Roman"/>
                <w:b/>
                <w:bCs/>
              </w:rPr>
              <w:t>Article 9</w:t>
            </w:r>
            <w:r>
              <w:rPr>
                <w:rFonts w:ascii="Times New Roman" w:hAnsi="Times New Roman"/>
              </w:rPr>
              <w:tab/>
            </w:r>
            <w:r>
              <w:rPr>
                <w:rFonts w:ascii="Times New Roman" w:hAnsi="Times New Roman"/>
              </w:rPr>
              <w:t xml:space="preserve">Any </w:t>
            </w:r>
            <w:r>
              <w:rPr>
                <w:rFonts w:ascii="Times New Roman" w:hAnsi="Times New Roman"/>
                <w:dstrike/>
              </w:rPr>
              <w:t>Client,</w:t>
            </w:r>
            <w:r>
              <w:rPr>
                <w:rFonts w:hint="eastAsia" w:ascii="Times New Roman" w:hAnsi="Times New Roman"/>
                <w:dstrike/>
              </w:rPr>
              <w:t xml:space="preserve"> </w:t>
            </w:r>
            <w:r>
              <w:rPr>
                <w:rFonts w:ascii="Times New Roman" w:hAnsi="Times New Roman"/>
              </w:rPr>
              <w:t xml:space="preserve">Non-FF Member, </w:t>
            </w:r>
            <w:r>
              <w:rPr>
                <w:rFonts w:ascii="Times New Roman" w:hAnsi="Times New Roman"/>
                <w:dstrike/>
              </w:rPr>
              <w:t xml:space="preserve">or </w:t>
            </w:r>
            <w:r>
              <w:rPr>
                <w:rFonts w:ascii="Times New Roman" w:hAnsi="Times New Roman"/>
              </w:rPr>
              <w:t xml:space="preserve">OSNBP </w:t>
            </w:r>
            <w:r>
              <w:rPr>
                <w:rFonts w:ascii="Times New Roman" w:hAnsi="Times New Roman"/>
                <w:color w:val="FF0000"/>
              </w:rPr>
              <w:t xml:space="preserve">or Client </w:t>
            </w:r>
            <w:r>
              <w:rPr>
                <w:rFonts w:ascii="Times New Roman" w:hAnsi="Times New Roman"/>
              </w:rPr>
              <w:t>who is involved in a change of actual control relationship shall voluntarily file such change with CFMMC within ten (10) trading days through the corresponding filing entity.</w:t>
            </w:r>
          </w:p>
          <w:p>
            <w:pPr>
              <w:tabs>
                <w:tab w:val="left" w:pos="1204"/>
              </w:tabs>
              <w:snapToGrid w:val="0"/>
              <w:spacing w:before="120" w:beforeLines="50" w:after="120" w:afterLines="50"/>
              <w:rPr>
                <w:rFonts w:ascii="Times New Roman" w:hAnsi="Times New Roman"/>
              </w:rPr>
            </w:pPr>
            <w:r>
              <w:rPr>
                <w:rFonts w:ascii="Times New Roman" w:hAnsi="Times New Roman"/>
              </w:rPr>
              <w:t>Any</w:t>
            </w:r>
            <w:r>
              <w:rPr>
                <w:rFonts w:ascii="Times New Roman" w:hAnsi="Times New Roman"/>
                <w:dstrike/>
              </w:rPr>
              <w:t xml:space="preserve"> Client, </w:t>
            </w:r>
            <w:r>
              <w:rPr>
                <w:rFonts w:ascii="Times New Roman" w:hAnsi="Times New Roman"/>
              </w:rPr>
              <w:t xml:space="preserve">Non-FF Member, </w:t>
            </w:r>
            <w:r>
              <w:rPr>
                <w:rFonts w:ascii="Times New Roman" w:hAnsi="Times New Roman"/>
                <w:dstrike/>
              </w:rPr>
              <w:t xml:space="preserve">or </w:t>
            </w:r>
            <w:r>
              <w:rPr>
                <w:rFonts w:ascii="Times New Roman" w:hAnsi="Times New Roman"/>
              </w:rPr>
              <w:t>OSNBP</w:t>
            </w:r>
            <w:r>
              <w:rPr>
                <w:rFonts w:ascii="Times New Roman" w:hAnsi="Times New Roman"/>
                <w:color w:val="FF0000"/>
              </w:rPr>
              <w:t xml:space="preserve"> or Client</w:t>
            </w:r>
            <w:r>
              <w:rPr>
                <w:rFonts w:ascii="Times New Roman" w:hAnsi="Times New Roman"/>
              </w:rPr>
              <w:t xml:space="preserve"> applying for adding an actual control relationship shall voluntarily file such change with CFMMC </w:t>
            </w:r>
            <w:r>
              <w:rPr>
                <w:rFonts w:ascii="Times New Roman" w:hAnsi="Times New Roman"/>
                <w:dstrike/>
              </w:rPr>
              <w:t xml:space="preserve">within ten (10) trading days </w:t>
            </w:r>
            <w:r>
              <w:rPr>
                <w:rFonts w:ascii="Times New Roman" w:hAnsi="Times New Roman"/>
              </w:rPr>
              <w:t>through the corresponding filing entity.</w:t>
            </w:r>
          </w:p>
          <w:p>
            <w:pPr>
              <w:tabs>
                <w:tab w:val="left" w:pos="1204"/>
              </w:tabs>
              <w:snapToGrid w:val="0"/>
              <w:spacing w:before="120" w:beforeLines="50" w:after="120" w:afterLines="50"/>
              <w:rPr>
                <w:rFonts w:ascii="Times New Roman" w:hAnsi="Times New Roman"/>
              </w:rPr>
            </w:pPr>
            <w:r>
              <w:rPr>
                <w:rFonts w:ascii="Times New Roman" w:hAnsi="Times New Roman"/>
              </w:rPr>
              <w:t>Any Client intending to remove an actual control relationship shall submit an application to CFMMC through its Account Opening Institution to be forwarded to the Exchange for review. The Client shall also submit, through its Account Opening Institution, such explanatory materials as required by the Exchange.</w:t>
            </w:r>
          </w:p>
          <w:p>
            <w:pPr>
              <w:tabs>
                <w:tab w:val="left" w:pos="1204"/>
              </w:tabs>
              <w:snapToGrid w:val="0"/>
              <w:spacing w:before="120" w:beforeLines="50" w:after="120" w:afterLines="50"/>
              <w:rPr>
                <w:rFonts w:ascii="Times New Roman" w:hAnsi="Times New Roman" w:cs="Times New Roman"/>
                <w:b/>
                <w:bCs/>
                <w:color w:val="FF0000"/>
                <w:sz w:val="28"/>
                <w:szCs w:val="28"/>
              </w:rPr>
            </w:pPr>
            <w:r>
              <w:rPr>
                <w:rFonts w:ascii="Times New Roman" w:hAnsi="Times New Roman"/>
              </w:rPr>
              <w:t>Any Non-FF Member or OSNBP intending to remove an actual control relationship shall directly apply to the Exchange and provide such explanatory materials as required by the Exchange.</w:t>
            </w:r>
          </w:p>
        </w:tc>
        <w:tc>
          <w:tcPr>
            <w:tcW w:w="7087" w:type="dxa"/>
            <w:vAlign w:val="top"/>
          </w:tcPr>
          <w:p>
            <w:pPr>
              <w:tabs>
                <w:tab w:val="left" w:pos="1204"/>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b/>
                <w:bCs/>
              </w:rPr>
              <w:t>Article 9</w:t>
            </w:r>
            <w:r>
              <w:rPr>
                <w:rFonts w:ascii="Times New Roman" w:hAnsi="Times New Roman" w:eastAsia="宋体" w:cs="Times New Roman"/>
              </w:rPr>
              <w:tab/>
            </w:r>
            <w:r>
              <w:rPr>
                <w:rFonts w:ascii="Times New Roman" w:hAnsi="Times New Roman" w:eastAsia="宋体" w:cs="Times New Roman"/>
              </w:rPr>
              <w:t>Any Client, Non-FF Member, or OSNBP who is involved in a change of actual control relationship shall voluntarily file such change with CFMMC within ten (10) trading days through the corresponding filing entity.</w:t>
            </w:r>
          </w:p>
          <w:p>
            <w:pPr>
              <w:tabs>
                <w:tab w:val="left" w:pos="1204"/>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Any Client, Non-FF Member, or OSNBP applying for adding an actual control relationship shall voluntarily file such change with CFMMC within ten (10) trading days through the corresponding filing entity.</w:t>
            </w:r>
          </w:p>
          <w:p>
            <w:pPr>
              <w:tabs>
                <w:tab w:val="left" w:pos="1204"/>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Any Client intending to remove an actual control relationship shall submit an application to CFMMC through its Account Opening Institution to be forwarded to the Exchange for review. The Client shall also submit, through its Account Opening Institution, such explanatory materials as required by the Exchange.</w:t>
            </w:r>
          </w:p>
          <w:p>
            <w:pPr>
              <w:snapToGrid w:val="0"/>
              <w:spacing w:before="120" w:beforeLines="50" w:after="120" w:afterLines="50"/>
              <w:rPr>
                <w:rFonts w:hint="eastAsia" w:ascii="Times New Roman" w:hAnsi="Times New Roman" w:cs="Times New Roman"/>
                <w:sz w:val="28"/>
                <w:szCs w:val="28"/>
              </w:rPr>
            </w:pPr>
            <w:r>
              <w:rPr>
                <w:rFonts w:ascii="Times New Roman" w:hAnsi="Times New Roman" w:eastAsia="宋体" w:cs="Times New Roman"/>
              </w:rPr>
              <w:t>Any Non-FF Member or OSNBP intending to remove an actual control relationship shall directly apply to the Exchange and provide such explanatory materials as required by the Exchange.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vAlign w:val="top"/>
          </w:tcPr>
          <w:p>
            <w:pPr>
              <w:tabs>
                <w:tab w:val="left" w:pos="1204"/>
              </w:tabs>
              <w:snapToGrid w:val="0"/>
              <w:spacing w:before="120" w:beforeLines="50" w:after="120" w:afterLines="50"/>
              <w:rPr>
                <w:rFonts w:ascii="Times New Roman" w:hAnsi="Times New Roman"/>
                <w:bCs/>
              </w:rPr>
            </w:pPr>
            <w:r>
              <w:rPr>
                <w:rFonts w:ascii="Times New Roman" w:hAnsi="Times New Roman"/>
                <w:b/>
              </w:rPr>
              <w:t>Article 10</w:t>
            </w:r>
            <w:r>
              <w:rPr>
                <w:rFonts w:ascii="Times New Roman" w:hAnsi="Times New Roman"/>
                <w:bCs/>
              </w:rPr>
              <w:tab/>
            </w:r>
            <w:r>
              <w:rPr>
                <w:rFonts w:ascii="Times New Roman" w:hAnsi="Times New Roman"/>
                <w:bCs/>
              </w:rPr>
              <w:t>If during its day-to-day self-regulation, the Exchange discovers</w:t>
            </w:r>
            <w:r>
              <w:rPr>
                <w:rFonts w:ascii="Times New Roman" w:hAnsi="Times New Roman"/>
                <w:dstrike/>
              </w:rPr>
              <w:t xml:space="preserve"> that a Client is holding</w:t>
            </w:r>
            <w:r>
              <w:rPr>
                <w:rFonts w:ascii="Times New Roman" w:hAnsi="Times New Roman"/>
                <w:bCs/>
              </w:rPr>
              <w:t xml:space="preserve"> an account that is suspected of involving actual control relationship but is not filed, </w:t>
            </w:r>
            <w:r>
              <w:rPr>
                <w:rFonts w:ascii="Times New Roman" w:hAnsi="Times New Roman"/>
                <w:color w:val="FF0000"/>
              </w:rPr>
              <w:t xml:space="preserve">and if the </w:t>
            </w:r>
            <w:r>
              <w:rPr>
                <w:rFonts w:hint="eastAsia" w:ascii="Times New Roman" w:hAnsi="Times New Roman"/>
                <w:color w:val="FF0000"/>
              </w:rPr>
              <w:t>a</w:t>
            </w:r>
            <w:r>
              <w:rPr>
                <w:rFonts w:ascii="Times New Roman" w:hAnsi="Times New Roman"/>
                <w:color w:val="FF0000"/>
              </w:rPr>
              <w:t xml:space="preserve">ccount </w:t>
            </w:r>
            <w:r>
              <w:rPr>
                <w:rFonts w:hint="eastAsia" w:ascii="Times New Roman" w:hAnsi="Times New Roman"/>
                <w:color w:val="FF0000"/>
              </w:rPr>
              <w:t>h</w:t>
            </w:r>
            <w:r>
              <w:rPr>
                <w:rFonts w:ascii="Times New Roman" w:hAnsi="Times New Roman"/>
                <w:color w:val="FF0000"/>
              </w:rPr>
              <w:t>older is a Client that engage</w:t>
            </w:r>
            <w:r>
              <w:rPr>
                <w:rFonts w:hint="eastAsia" w:ascii="Times New Roman" w:hAnsi="Times New Roman"/>
                <w:color w:val="FF0000"/>
              </w:rPr>
              <w:t>s</w:t>
            </w:r>
            <w:r>
              <w:rPr>
                <w:rFonts w:ascii="Times New Roman" w:hAnsi="Times New Roman"/>
                <w:color w:val="FF0000"/>
              </w:rPr>
              <w:t xml:space="preserve"> in futures trading </w:t>
            </w:r>
            <w:r>
              <w:rPr>
                <w:rFonts w:hint="eastAsia" w:ascii="Times New Roman" w:hAnsi="Times New Roman"/>
                <w:color w:val="FF0000"/>
              </w:rPr>
              <w:t xml:space="preserve">through </w:t>
            </w:r>
            <w:r>
              <w:rPr>
                <w:rFonts w:ascii="Times New Roman" w:hAnsi="Times New Roman"/>
                <w:color w:val="FF0000"/>
              </w:rPr>
              <w:t xml:space="preserve">an FF Member, the Exchange is entitled to inquire into the account directly or through the FF Member; if the </w:t>
            </w:r>
            <w:r>
              <w:rPr>
                <w:rFonts w:hint="eastAsia" w:ascii="Times New Roman" w:hAnsi="Times New Roman"/>
                <w:color w:val="FF0000"/>
              </w:rPr>
              <w:t>a</w:t>
            </w:r>
            <w:r>
              <w:rPr>
                <w:rFonts w:ascii="Times New Roman" w:hAnsi="Times New Roman"/>
                <w:color w:val="FF0000"/>
              </w:rPr>
              <w:t xml:space="preserve">ccount </w:t>
            </w:r>
            <w:r>
              <w:rPr>
                <w:rFonts w:hint="eastAsia" w:ascii="Times New Roman" w:hAnsi="Times New Roman"/>
                <w:color w:val="FF0000"/>
              </w:rPr>
              <w:t>h</w:t>
            </w:r>
            <w:r>
              <w:rPr>
                <w:rFonts w:ascii="Times New Roman" w:hAnsi="Times New Roman"/>
                <w:color w:val="FF0000"/>
              </w:rPr>
              <w:t>older is a Client that engage</w:t>
            </w:r>
            <w:r>
              <w:rPr>
                <w:rFonts w:hint="eastAsia" w:ascii="Times New Roman" w:hAnsi="Times New Roman"/>
                <w:color w:val="FF0000"/>
              </w:rPr>
              <w:t>s</w:t>
            </w:r>
            <w:r>
              <w:rPr>
                <w:rFonts w:ascii="Times New Roman" w:hAnsi="Times New Roman"/>
                <w:color w:val="FF0000"/>
              </w:rPr>
              <w:t xml:space="preserve"> in futures trading</w:t>
            </w:r>
            <w:r>
              <w:rPr>
                <w:rFonts w:hint="eastAsia" w:ascii="Times New Roman" w:hAnsi="Times New Roman"/>
                <w:color w:val="FF0000"/>
              </w:rPr>
              <w:t xml:space="preserve"> through</w:t>
            </w:r>
            <w:r>
              <w:rPr>
                <w:rFonts w:ascii="Times New Roman" w:hAnsi="Times New Roman"/>
                <w:color w:val="FF0000"/>
              </w:rPr>
              <w:t xml:space="preserve"> an OSBP, the Exchange is entitled to inquire into the account directly or through the OSBP; if the </w:t>
            </w:r>
            <w:r>
              <w:rPr>
                <w:rFonts w:hint="eastAsia" w:ascii="Times New Roman" w:hAnsi="Times New Roman"/>
                <w:color w:val="FF0000"/>
              </w:rPr>
              <w:t>a</w:t>
            </w:r>
            <w:r>
              <w:rPr>
                <w:rFonts w:ascii="Times New Roman" w:hAnsi="Times New Roman"/>
                <w:color w:val="FF0000"/>
              </w:rPr>
              <w:t xml:space="preserve">ccount </w:t>
            </w:r>
            <w:r>
              <w:rPr>
                <w:rFonts w:hint="eastAsia" w:ascii="Times New Roman" w:hAnsi="Times New Roman"/>
                <w:color w:val="FF0000"/>
              </w:rPr>
              <w:t>h</w:t>
            </w:r>
            <w:r>
              <w:rPr>
                <w:rFonts w:ascii="Times New Roman" w:hAnsi="Times New Roman"/>
                <w:color w:val="FF0000"/>
              </w:rPr>
              <w:t>older is a Non-FF Member or an OSNBP, the Exchange is entitled to inquire into the account directly.</w:t>
            </w:r>
            <w:r>
              <w:rPr>
                <w:rFonts w:ascii="Times New Roman" w:hAnsi="Times New Roman"/>
                <w:dstrike/>
              </w:rPr>
              <w:t xml:space="preserve"> the Exchange is entitled to inquire into the account through the Client’s carrying FF Member or OSBP.</w:t>
            </w:r>
          </w:p>
          <w:p>
            <w:pPr>
              <w:tabs>
                <w:tab w:val="left" w:pos="1204"/>
              </w:tabs>
              <w:snapToGrid w:val="0"/>
              <w:spacing w:before="120" w:beforeLines="50" w:after="120" w:afterLines="50"/>
              <w:rPr>
                <w:rFonts w:ascii="Times New Roman" w:hAnsi="Times New Roman"/>
              </w:rPr>
            </w:pPr>
            <w:r>
              <w:rPr>
                <w:rFonts w:ascii="Times New Roman" w:hAnsi="Times New Roman"/>
              </w:rPr>
              <w:t>If the Client is engaging in futures trading through an Overseas Intermediary, the relevant FF Member or OSBP shall promptly forward the inquiry to such Overseas Intermediary, who shall inquire the Client about the account.</w:t>
            </w:r>
          </w:p>
          <w:p>
            <w:pPr>
              <w:tabs>
                <w:tab w:val="left" w:pos="1204"/>
              </w:tabs>
              <w:snapToGrid w:val="0"/>
              <w:spacing w:before="120" w:beforeLines="50" w:after="120" w:afterLines="50"/>
              <w:rPr>
                <w:rFonts w:ascii="Times New Roman" w:hAnsi="Times New Roman" w:cs="Times New Roman"/>
                <w:b/>
                <w:bCs/>
                <w:color w:val="FF0000"/>
                <w:sz w:val="28"/>
                <w:szCs w:val="28"/>
              </w:rPr>
            </w:pPr>
            <w:r>
              <w:rPr>
                <w:rFonts w:ascii="Times New Roman" w:hAnsi="Times New Roman"/>
                <w:color w:val="FF0000"/>
              </w:rPr>
              <w:t xml:space="preserve">Non-FF Members, OSNBPs and </w:t>
            </w:r>
            <w:r>
              <w:rPr>
                <w:rFonts w:ascii="Times New Roman" w:hAnsi="Times New Roman"/>
                <w:dstrike/>
              </w:rPr>
              <w:t xml:space="preserve">All </w:t>
            </w:r>
            <w:r>
              <w:rPr>
                <w:rFonts w:ascii="Times New Roman" w:hAnsi="Times New Roman"/>
                <w:bCs/>
              </w:rPr>
              <w:t xml:space="preserve">Clients concerned shall timely respond to the inquiry in writing and furnish relevant materials. The </w:t>
            </w:r>
            <w:r>
              <w:rPr>
                <w:rFonts w:ascii="Times New Roman" w:hAnsi="Times New Roman"/>
              </w:rPr>
              <w:t>Account Opening Institution</w:t>
            </w:r>
            <w:r>
              <w:rPr>
                <w:rFonts w:ascii="Times New Roman" w:hAnsi="Times New Roman"/>
                <w:bCs/>
              </w:rPr>
              <w:t xml:space="preserve"> shall forward the written response and materials to the Exchange in a timely manner.</w:t>
            </w:r>
          </w:p>
        </w:tc>
        <w:tc>
          <w:tcPr>
            <w:tcW w:w="7087" w:type="dxa"/>
            <w:vAlign w:val="top"/>
          </w:tcPr>
          <w:p>
            <w:pPr>
              <w:tabs>
                <w:tab w:val="left" w:pos="1204"/>
              </w:tabs>
              <w:snapToGrid w:val="0"/>
              <w:spacing w:before="120" w:beforeLines="50" w:after="120" w:afterLines="50"/>
              <w:rPr>
                <w:rFonts w:ascii="Times New Roman" w:hAnsi="Times New Roman" w:eastAsia="宋体" w:cs="Times New Roman"/>
                <w:bCs/>
              </w:rPr>
            </w:pPr>
            <w:r>
              <w:rPr>
                <w:rFonts w:ascii="Times New Roman" w:hAnsi="Times New Roman" w:eastAsia="宋体" w:cs="Times New Roman"/>
                <w:b/>
              </w:rPr>
              <w:t>Article 10</w:t>
            </w:r>
            <w:r>
              <w:rPr>
                <w:rFonts w:ascii="Times New Roman" w:hAnsi="Times New Roman" w:eastAsia="宋体" w:cs="Times New Roman"/>
                <w:bCs/>
              </w:rPr>
              <w:tab/>
            </w:r>
            <w:r>
              <w:rPr>
                <w:rFonts w:ascii="Times New Roman" w:hAnsi="Times New Roman" w:eastAsia="宋体" w:cs="Times New Roman"/>
                <w:bCs/>
              </w:rPr>
              <w:t>If during its day-to-day self-regulation, the Exchange discovers that a Client is holding an account that is suspected of involving actual control relationship but is not filed, the Exchange is entitled to inquire into the account through the Client’s carrying FF Member</w:t>
            </w:r>
            <w:r>
              <w:rPr>
                <w:rFonts w:ascii="Times New Roman" w:hAnsi="Times New Roman" w:eastAsia="宋体" w:cs="Times New Roman"/>
              </w:rPr>
              <w:t xml:space="preserve"> or OSBP.</w:t>
            </w:r>
          </w:p>
          <w:p>
            <w:pPr>
              <w:tabs>
                <w:tab w:val="left" w:pos="1204"/>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If the Client is engaging in futures trading through an Overseas Intermediary, the relevant FF Member or OSBP shall promptly forward the inquiry to such Overseas Intermediary, who shall inquire the Client about the account.</w:t>
            </w:r>
          </w:p>
          <w:p>
            <w:pPr>
              <w:snapToGrid w:val="0"/>
              <w:spacing w:before="120" w:beforeLines="50" w:after="120" w:afterLines="50"/>
              <w:rPr>
                <w:rFonts w:hint="eastAsia" w:ascii="Times New Roman" w:hAnsi="Times New Roman" w:cs="Times New Roman"/>
                <w:sz w:val="28"/>
                <w:szCs w:val="28"/>
              </w:rPr>
            </w:pPr>
            <w:r>
              <w:rPr>
                <w:rFonts w:ascii="Times New Roman" w:hAnsi="Times New Roman" w:eastAsia="宋体" w:cs="Times New Roman"/>
                <w:bCs/>
              </w:rPr>
              <w:t xml:space="preserve">All Clients concerned shall timely respond to the inquiry in writing and furnish relevant materials. The </w:t>
            </w:r>
            <w:r>
              <w:rPr>
                <w:rFonts w:ascii="Times New Roman" w:hAnsi="Times New Roman" w:eastAsia="宋体" w:cs="Times New Roman"/>
              </w:rPr>
              <w:t>Account Opening Institution</w:t>
            </w:r>
            <w:r>
              <w:rPr>
                <w:rFonts w:ascii="Times New Roman" w:hAnsi="Times New Roman" w:eastAsia="宋体" w:cs="Times New Roman"/>
                <w:bCs/>
              </w:rPr>
              <w:t xml:space="preserve"> shall forward the written response and materials to the Exchange in a timely manner.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vAlign w:val="top"/>
          </w:tcPr>
          <w:p>
            <w:pPr>
              <w:tabs>
                <w:tab w:val="left" w:pos="1204"/>
              </w:tabs>
              <w:snapToGrid w:val="0"/>
              <w:spacing w:before="120" w:beforeLines="50" w:after="120" w:afterLines="50"/>
              <w:rPr>
                <w:rFonts w:ascii="Times New Roman" w:hAnsi="Times New Roman"/>
              </w:rPr>
            </w:pPr>
            <w:r>
              <w:rPr>
                <w:rFonts w:ascii="Times New Roman" w:hAnsi="Times New Roman"/>
                <w:b/>
                <w:bCs/>
              </w:rPr>
              <w:t>Article 11</w:t>
            </w:r>
            <w:r>
              <w:rPr>
                <w:rFonts w:ascii="Times New Roman" w:hAnsi="Times New Roman"/>
              </w:rPr>
              <w:tab/>
            </w:r>
            <w:r>
              <w:rPr>
                <w:rFonts w:ascii="Times New Roman" w:hAnsi="Times New Roman"/>
              </w:rPr>
              <w:t xml:space="preserve">Any </w:t>
            </w:r>
            <w:r>
              <w:rPr>
                <w:rFonts w:ascii="Times New Roman" w:hAnsi="Times New Roman"/>
                <w:color w:val="FF0000"/>
              </w:rPr>
              <w:t xml:space="preserve">Non-FF Member, OSNBP or </w:t>
            </w:r>
            <w:r>
              <w:rPr>
                <w:rFonts w:ascii="Times New Roman" w:hAnsi="Times New Roman"/>
              </w:rPr>
              <w:t xml:space="preserve">Client acknowledging the existence of an actual control relationship during the inquiry shall make account filing in accordance with the prescribed procedures. Any </w:t>
            </w:r>
            <w:r>
              <w:rPr>
                <w:rFonts w:ascii="Times New Roman" w:hAnsi="Times New Roman"/>
                <w:color w:val="FF0000"/>
              </w:rPr>
              <w:t xml:space="preserve">Non-FF Member, OSNBP or </w:t>
            </w:r>
            <w:r>
              <w:rPr>
                <w:rFonts w:ascii="Times New Roman" w:hAnsi="Times New Roman"/>
              </w:rPr>
              <w:t xml:space="preserve">Client denying the existence of an actual control relationship during the inquiry shall </w:t>
            </w:r>
            <w:r>
              <w:rPr>
                <w:rFonts w:ascii="Times New Roman" w:hAnsi="Times New Roman"/>
                <w:color w:val="FF0000"/>
              </w:rPr>
              <w:t>submit written explanat</w:t>
            </w:r>
            <w:r>
              <w:rPr>
                <w:rFonts w:hint="eastAsia" w:ascii="Times New Roman" w:hAnsi="Times New Roman"/>
                <w:color w:val="FF0000"/>
              </w:rPr>
              <w:t>ion</w:t>
            </w:r>
            <w:r>
              <w:rPr>
                <w:rFonts w:hint="eastAsia" w:ascii="Times New Roman" w:hAnsi="Times New Roman"/>
                <w:color w:val="FF0000"/>
                <w:lang w:eastAsia="zh-CN"/>
              </w:rPr>
              <w:t>s</w:t>
            </w:r>
            <w:r>
              <w:rPr>
                <w:rFonts w:ascii="Times New Roman" w:hAnsi="Times New Roman"/>
                <w:color w:val="FF0000"/>
              </w:rPr>
              <w:t xml:space="preserve"> and </w:t>
            </w:r>
            <w:r>
              <w:rPr>
                <w:rFonts w:ascii="Times New Roman" w:hAnsi="Times New Roman"/>
              </w:rPr>
              <w:t>sign a Compliance Statement and Undertaking Letter (see the website of the Exchange), following which the Exchange will review the written explanatory materials and take the following actions accordingly:</w:t>
            </w:r>
          </w:p>
          <w:p>
            <w:pPr>
              <w:tabs>
                <w:tab w:val="left" w:pos="480"/>
              </w:tabs>
              <w:snapToGrid w:val="0"/>
              <w:spacing w:before="120" w:beforeLines="50" w:after="120" w:afterLines="50"/>
              <w:rPr>
                <w:rFonts w:ascii="Times New Roman" w:hAnsi="Times New Roman"/>
                <w:dstrike/>
              </w:rPr>
            </w:pPr>
            <w:r>
              <w:rPr>
                <w:rFonts w:ascii="Times New Roman" w:hAnsi="Times New Roman"/>
              </w:rPr>
              <w:t>(i)</w:t>
            </w:r>
            <w:r>
              <w:rPr>
                <w:rFonts w:ascii="Times New Roman" w:hAnsi="Times New Roman"/>
              </w:rPr>
              <w:tab/>
            </w:r>
            <w:r>
              <w:rPr>
                <w:rFonts w:ascii="Times New Roman" w:hAnsi="Times New Roman"/>
                <w:color w:val="FF0000"/>
              </w:rPr>
              <w:t xml:space="preserve">If there are sufficient facts and reasons to demonstrate that the account in question does not involve an actual control relationship, the Exchange will identify the account as such. </w:t>
            </w:r>
            <w:r>
              <w:rPr>
                <w:rFonts w:ascii="Times New Roman" w:hAnsi="Times New Roman"/>
                <w:dstrike/>
              </w:rPr>
              <w:t>If the facts and reasons given are inadequate and through investigation the Exchange determines that an actual control relationship exists, the Exchange will order the Client to make account filing and will take actions against the Client in accordance with Article 12 of these Actual Control Account Rules.</w:t>
            </w:r>
          </w:p>
          <w:p>
            <w:pPr>
              <w:tabs>
                <w:tab w:val="left" w:pos="480"/>
              </w:tabs>
              <w:snapToGrid w:val="0"/>
              <w:spacing w:before="120" w:beforeLines="50" w:after="120" w:afterLines="50"/>
              <w:rPr>
                <w:rFonts w:ascii="Times New Roman" w:hAnsi="Times New Roman" w:cs="Times New Roman"/>
                <w:b/>
                <w:bCs/>
                <w:color w:val="FF0000"/>
                <w:sz w:val="28"/>
                <w:szCs w:val="28"/>
              </w:rPr>
            </w:pPr>
            <w:r>
              <w:rPr>
                <w:rFonts w:ascii="Times New Roman" w:hAnsi="Times New Roman"/>
              </w:rPr>
              <w:t>(ii)</w:t>
            </w:r>
            <w:r>
              <w:rPr>
                <w:rFonts w:ascii="Times New Roman" w:hAnsi="Times New Roman"/>
              </w:rPr>
              <w:tab/>
            </w:r>
            <w:r>
              <w:rPr>
                <w:rFonts w:ascii="Times New Roman" w:hAnsi="Times New Roman"/>
                <w:color w:val="FF0000"/>
              </w:rPr>
              <w:t>If the facts and reasons given are inadequate and through investigation the Exchange determines that the criteria for determining an actual control relationship are met, the Exchange will require the Non-FF Member, OSNBP or Client to make account filing. If th</w:t>
            </w:r>
            <w:r>
              <w:rPr>
                <w:rFonts w:hint="eastAsia" w:ascii="Times New Roman" w:hAnsi="Times New Roman"/>
                <w:color w:val="FF0000"/>
              </w:rPr>
              <w:t xml:space="preserve">e </w:t>
            </w:r>
            <w:r>
              <w:rPr>
                <w:rFonts w:ascii="Times New Roman" w:hAnsi="Times New Roman"/>
                <w:color w:val="FF0000"/>
              </w:rPr>
              <w:t>Non-FF Member, OSNBP or Client fails to complete the filing within the prescribed time, the Exchange may determine, in accordance with these Actual Control Account Rules, that an actual control relationship exists. If, after investigation, the Exchange is temporarily unable to determine whether the criteria for determining an actual control relationship are met, the Exchange may include the Non-FF Member, OSNBP or Client in</w:t>
            </w:r>
            <w:r>
              <w:rPr>
                <w:rFonts w:hint="eastAsia" w:ascii="Times New Roman" w:hAnsi="Times New Roman"/>
                <w:color w:val="FF0000"/>
                <w:lang w:eastAsia="zh-CN"/>
              </w:rPr>
              <w:t>to</w:t>
            </w:r>
            <w:r>
              <w:rPr>
                <w:rFonts w:ascii="Times New Roman" w:hAnsi="Times New Roman"/>
                <w:color w:val="FF0000"/>
              </w:rPr>
              <w:t xml:space="preserve"> its watch list.</w:t>
            </w:r>
            <w:r>
              <w:rPr>
                <w:rFonts w:hint="eastAsia" w:ascii="Times New Roman" w:hAnsi="Times New Roman"/>
                <w:color w:val="FF0000"/>
              </w:rPr>
              <w:t xml:space="preserve"> </w:t>
            </w:r>
            <w:r>
              <w:rPr>
                <w:rFonts w:ascii="Times New Roman" w:hAnsi="Times New Roman"/>
                <w:dstrike/>
              </w:rPr>
              <w:t>If there are sufficient facts and reasons to demonstrate that the account in question does not involve an actual control relationship, the Exchange will identify the account as such.</w:t>
            </w:r>
          </w:p>
        </w:tc>
        <w:tc>
          <w:tcPr>
            <w:tcW w:w="7087" w:type="dxa"/>
            <w:vAlign w:val="top"/>
          </w:tcPr>
          <w:p>
            <w:pPr>
              <w:tabs>
                <w:tab w:val="left" w:pos="1204"/>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b/>
                <w:bCs/>
              </w:rPr>
              <w:t>Article 11</w:t>
            </w:r>
            <w:r>
              <w:rPr>
                <w:rFonts w:ascii="Times New Roman" w:hAnsi="Times New Roman" w:eastAsia="宋体" w:cs="Times New Roman"/>
              </w:rPr>
              <w:tab/>
            </w:r>
            <w:r>
              <w:rPr>
                <w:rFonts w:ascii="Times New Roman" w:hAnsi="Times New Roman" w:eastAsia="宋体" w:cs="Times New Roman"/>
              </w:rPr>
              <w:t>Any Client acknowledging the existence of an actual control relationship during the inquiry shall make account filing in accordance with the prescribed procedures. Any Client denying the existence of an actual control relationship during the inquiry shall sign a Compliance Statement and Undertaking Letter (see the website of the Exchange), following which the Exchange will review the written explanatory materials and take the following actions accordingly:</w:t>
            </w:r>
          </w:p>
          <w:p>
            <w:pPr>
              <w:tabs>
                <w:tab w:val="left" w:pos="480"/>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(i)</w:t>
            </w:r>
            <w:r>
              <w:rPr>
                <w:rFonts w:ascii="Times New Roman" w:hAnsi="Times New Roman" w:eastAsia="宋体" w:cs="Times New Roman"/>
              </w:rPr>
              <w:tab/>
            </w:r>
            <w:r>
              <w:rPr>
                <w:rFonts w:ascii="Times New Roman" w:hAnsi="Times New Roman" w:eastAsia="宋体" w:cs="Times New Roman"/>
              </w:rPr>
              <w:t>If the facts and reasons given are inadequate and through investigation the Exchange determines that an actual control relationship exists, the Exchange will order the Client to make account filing and will take actions against the Client in accordance with Article 12 of these Actual Control Account Rules.</w:t>
            </w:r>
          </w:p>
          <w:p>
            <w:pPr>
              <w:tabs>
                <w:tab w:val="left" w:pos="480"/>
              </w:tabs>
              <w:snapToGrid w:val="0"/>
              <w:spacing w:before="120" w:beforeLines="50" w:after="120" w:afterLines="50"/>
              <w:rPr>
                <w:rFonts w:hint="eastAsia" w:ascii="Times New Roman" w:hAnsi="Times New Roman" w:cs="Times New Roman"/>
                <w:sz w:val="28"/>
                <w:szCs w:val="28"/>
              </w:rPr>
            </w:pPr>
            <w:r>
              <w:rPr>
                <w:rFonts w:ascii="Times New Roman" w:hAnsi="Times New Roman" w:eastAsia="宋体" w:cs="Times New Roman"/>
              </w:rPr>
              <w:t>(ii)</w:t>
            </w:r>
            <w:r>
              <w:rPr>
                <w:rFonts w:ascii="Times New Roman" w:hAnsi="Times New Roman" w:eastAsia="宋体" w:cs="Times New Roman"/>
              </w:rPr>
              <w:tab/>
            </w:r>
            <w:r>
              <w:rPr>
                <w:rFonts w:ascii="Times New Roman" w:hAnsi="Times New Roman" w:eastAsia="宋体" w:cs="Times New Roman"/>
              </w:rPr>
              <w:t>If there are sufficient facts and reasons to demonstrate that the account in question does not involve an actual control relationship, the Exchange will identify the account as such.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vAlign w:val="top"/>
          </w:tcPr>
          <w:p>
            <w:pPr>
              <w:tabs>
                <w:tab w:val="left" w:pos="1204"/>
              </w:tabs>
              <w:snapToGrid w:val="0"/>
              <w:spacing w:before="120" w:beforeLines="50" w:after="120" w:afterLines="50"/>
              <w:rPr>
                <w:rFonts w:ascii="Times New Roman" w:hAnsi="Times New Roman"/>
                <w:color w:val="FF0000"/>
              </w:rPr>
            </w:pPr>
            <w:r>
              <w:rPr>
                <w:rFonts w:ascii="Times New Roman" w:hAnsi="Times New Roman"/>
                <w:b/>
              </w:rPr>
              <w:t>Article 12</w:t>
            </w:r>
            <w:r>
              <w:rPr>
                <w:rFonts w:ascii="Times New Roman" w:hAnsi="Times New Roman"/>
                <w:bCs/>
              </w:rPr>
              <w:tab/>
            </w:r>
            <w:r>
              <w:rPr>
                <w:rFonts w:ascii="Times New Roman" w:hAnsi="Times New Roman"/>
                <w:dstrike/>
              </w:rPr>
              <w:t>If any Client, Non-FF Member, or OSNBP involved in an actual control relationship does not truthfully file relevant information or truthfully respond to the inquiry of the Exchange, or elects to withhold facts, evade inquiries, or otherwise do not cooperate with the Exchange in the filing or during investigations, t</w:t>
            </w:r>
            <w:r>
              <w:rPr>
                <w:rFonts w:hint="eastAsia" w:ascii="Times New Roman" w:hAnsi="Times New Roman"/>
                <w:bCs/>
                <w:color w:val="FF0000"/>
              </w:rPr>
              <w:t>T</w:t>
            </w:r>
            <w:r>
              <w:rPr>
                <w:rFonts w:ascii="Times New Roman" w:hAnsi="Times New Roman"/>
                <w:bCs/>
              </w:rPr>
              <w:t xml:space="preserve">he Exchange may adopt such measures as giving a verbal reminder, issuing a written warning, </w:t>
            </w:r>
            <w:r>
              <w:rPr>
                <w:rFonts w:ascii="Times New Roman" w:hAnsi="Times New Roman"/>
                <w:dstrike/>
              </w:rPr>
              <w:t xml:space="preserve">and </w:t>
            </w:r>
            <w:r>
              <w:rPr>
                <w:rFonts w:ascii="Times New Roman" w:hAnsi="Times New Roman"/>
                <w:bCs/>
              </w:rPr>
              <w:t>suspending from opening new positions</w:t>
            </w:r>
            <w:r>
              <w:rPr>
                <w:rFonts w:hint="eastAsia" w:ascii="Times New Roman" w:hAnsi="Times New Roman"/>
                <w:bCs/>
                <w:color w:val="FF0000"/>
              </w:rPr>
              <w:t>, and limiting funds withdrawals</w:t>
            </w:r>
            <w:r>
              <w:rPr>
                <w:rFonts w:ascii="Times New Roman" w:hAnsi="Times New Roman"/>
                <w:bCs/>
                <w:color w:val="FF0000"/>
              </w:rPr>
              <w:t xml:space="preserve"> </w:t>
            </w:r>
            <w:r>
              <w:rPr>
                <w:rFonts w:hint="eastAsia" w:ascii="Times New Roman" w:hAnsi="Times New Roman"/>
                <w:bCs/>
                <w:color w:val="FF0000"/>
              </w:rPr>
              <w:t>i</w:t>
            </w:r>
            <w:r>
              <w:rPr>
                <w:rFonts w:ascii="Times New Roman" w:hAnsi="Times New Roman"/>
                <w:bCs/>
                <w:color w:val="FF0000"/>
              </w:rPr>
              <w:t>f</w:t>
            </w:r>
            <w:r>
              <w:rPr>
                <w:rFonts w:ascii="Times New Roman" w:hAnsi="Times New Roman" w:cs="Times New Roman"/>
                <w:bCs/>
                <w:color w:val="FF0000"/>
              </w:rPr>
              <w:t xml:space="preserve"> </w:t>
            </w:r>
            <w:r>
              <w:rPr>
                <w:rFonts w:hint="eastAsia" w:ascii="Times New Roman" w:hAnsi="Times New Roman" w:cs="Times New Roman"/>
                <w:bCs/>
                <w:color w:val="FF0000"/>
              </w:rPr>
              <w:t>any</w:t>
            </w:r>
            <w:r>
              <w:rPr>
                <w:rFonts w:ascii="Times New Roman" w:hAnsi="Times New Roman" w:cs="Times New Roman"/>
                <w:bCs/>
                <w:color w:val="FF0000"/>
              </w:rPr>
              <w:t xml:space="preserve"> </w:t>
            </w:r>
            <w:r>
              <w:rPr>
                <w:rFonts w:ascii="Times New Roman" w:hAnsi="Times New Roman"/>
                <w:bCs/>
                <w:color w:val="FF0000"/>
              </w:rPr>
              <w:t>Non-FF Member</w:t>
            </w:r>
            <w:r>
              <w:rPr>
                <w:rFonts w:ascii="Times New Roman" w:hAnsi="Times New Roman"/>
                <w:color w:val="FF0000"/>
              </w:rPr>
              <w:t>, OSNBP</w:t>
            </w:r>
            <w:r>
              <w:rPr>
                <w:rFonts w:ascii="Times New Roman" w:hAnsi="Times New Roman"/>
                <w:bCs/>
                <w:color w:val="FF0000"/>
              </w:rPr>
              <w:t xml:space="preserve"> </w:t>
            </w:r>
            <w:r>
              <w:rPr>
                <w:rFonts w:hint="eastAsia" w:ascii="Times New Roman" w:hAnsi="Times New Roman"/>
                <w:bCs/>
                <w:color w:val="FF0000"/>
              </w:rPr>
              <w:t>or Client:</w:t>
            </w:r>
            <w:r>
              <w:rPr>
                <w:rFonts w:ascii="Times New Roman" w:hAnsi="Times New Roman"/>
                <w:dstrike/>
              </w:rPr>
              <w:t>. If the circumstances are serious, the Exchange will take further actions in accordance with the Enforcement Rules.</w:t>
            </w:r>
            <w:r>
              <w:rPr>
                <w:rFonts w:ascii="Times New Roman" w:hAnsi="Times New Roman"/>
              </w:rPr>
              <w:t xml:space="preserve"> </w:t>
            </w:r>
          </w:p>
          <w:p>
            <w:pPr>
              <w:tabs>
                <w:tab w:val="left" w:pos="480"/>
              </w:tabs>
              <w:snapToGrid w:val="0"/>
              <w:spacing w:before="120" w:beforeLines="50" w:after="120" w:afterLines="50"/>
              <w:rPr>
                <w:rFonts w:ascii="Times New Roman" w:hAnsi="Times New Roman"/>
                <w:bCs/>
                <w:color w:val="FF0000"/>
              </w:rPr>
            </w:pPr>
            <w:r>
              <w:rPr>
                <w:rFonts w:ascii="Times New Roman" w:hAnsi="Times New Roman"/>
                <w:color w:val="FF0000"/>
              </w:rPr>
              <w:t>(i)</w:t>
            </w:r>
            <w:r>
              <w:rPr>
                <w:rFonts w:ascii="Times New Roman" w:hAnsi="Times New Roman"/>
                <w:color w:val="FF0000"/>
              </w:rPr>
              <w:tab/>
            </w:r>
            <w:r>
              <w:rPr>
                <w:rFonts w:hint="eastAsia" w:ascii="Times New Roman" w:hAnsi="Times New Roman"/>
                <w:color w:val="FF0000"/>
              </w:rPr>
              <w:t xml:space="preserve">is involved in </w:t>
            </w:r>
            <w:r>
              <w:rPr>
                <w:rFonts w:hint="eastAsia" w:ascii="Times New Roman" w:hAnsi="Times New Roman"/>
                <w:bCs/>
                <w:color w:val="FF0000"/>
              </w:rPr>
              <w:t>an actual control relationship but failed to truthfully file relevant information;</w:t>
            </w:r>
          </w:p>
          <w:p>
            <w:pPr>
              <w:tabs>
                <w:tab w:val="left" w:pos="480"/>
              </w:tabs>
              <w:snapToGrid w:val="0"/>
              <w:spacing w:before="120" w:beforeLines="50" w:after="120" w:afterLines="50"/>
              <w:rPr>
                <w:rFonts w:ascii="Times New Roman" w:hAnsi="Times New Roman"/>
                <w:color w:val="FF0000"/>
              </w:rPr>
            </w:pPr>
            <w:r>
              <w:rPr>
                <w:rFonts w:ascii="Times New Roman" w:hAnsi="Times New Roman"/>
                <w:color w:val="FF0000"/>
              </w:rPr>
              <w:t>(ii)</w:t>
            </w:r>
            <w:r>
              <w:rPr>
                <w:rFonts w:ascii="Times New Roman" w:hAnsi="Times New Roman"/>
                <w:color w:val="FF0000"/>
              </w:rPr>
              <w:tab/>
            </w:r>
            <w:r>
              <w:rPr>
                <w:rFonts w:ascii="Times New Roman" w:hAnsi="Times New Roman"/>
                <w:color w:val="FF0000"/>
              </w:rPr>
              <w:t>fail</w:t>
            </w:r>
            <w:r>
              <w:rPr>
                <w:rFonts w:hint="eastAsia" w:ascii="Times New Roman" w:hAnsi="Times New Roman"/>
                <w:color w:val="FF0000"/>
              </w:rPr>
              <w:t>s</w:t>
            </w:r>
            <w:r>
              <w:rPr>
                <w:rFonts w:ascii="Times New Roman" w:hAnsi="Times New Roman"/>
                <w:color w:val="FF0000"/>
              </w:rPr>
              <w:t xml:space="preserve"> to, or fail</w:t>
            </w:r>
            <w:r>
              <w:rPr>
                <w:rFonts w:hint="eastAsia" w:ascii="Times New Roman" w:hAnsi="Times New Roman"/>
                <w:color w:val="FF0000"/>
              </w:rPr>
              <w:t>s</w:t>
            </w:r>
            <w:r>
              <w:rPr>
                <w:rFonts w:ascii="Times New Roman" w:hAnsi="Times New Roman"/>
                <w:color w:val="FF0000"/>
              </w:rPr>
              <w:t xml:space="preserve"> to truthfully re</w:t>
            </w:r>
            <w:r>
              <w:rPr>
                <w:rFonts w:hint="eastAsia" w:ascii="Times New Roman" w:hAnsi="Times New Roman"/>
                <w:color w:val="FF0000"/>
              </w:rPr>
              <w:t>spond</w:t>
            </w:r>
            <w:r>
              <w:rPr>
                <w:rFonts w:ascii="Times New Roman" w:hAnsi="Times New Roman"/>
                <w:color w:val="FF0000"/>
              </w:rPr>
              <w:t xml:space="preserve"> to, any inquiry or investigation of the Exchange, or </w:t>
            </w:r>
            <w:r>
              <w:rPr>
                <w:rFonts w:hint="eastAsia" w:ascii="Times New Roman" w:hAnsi="Times New Roman"/>
                <w:color w:val="FF0000"/>
              </w:rPr>
              <w:t>elects to withhold</w:t>
            </w:r>
            <w:r>
              <w:rPr>
                <w:rFonts w:ascii="Times New Roman" w:hAnsi="Times New Roman"/>
                <w:color w:val="FF0000"/>
              </w:rPr>
              <w:t xml:space="preserve"> facts</w:t>
            </w:r>
            <w:r>
              <w:rPr>
                <w:rFonts w:hint="eastAsia" w:ascii="Times New Roman" w:hAnsi="Times New Roman"/>
                <w:color w:val="FF0000"/>
              </w:rPr>
              <w:t>,</w:t>
            </w:r>
            <w:r>
              <w:rPr>
                <w:rFonts w:ascii="Times New Roman" w:hAnsi="Times New Roman"/>
                <w:color w:val="FF0000"/>
              </w:rPr>
              <w:t xml:space="preserve"> or evad</w:t>
            </w:r>
            <w:r>
              <w:rPr>
                <w:rFonts w:hint="eastAsia" w:ascii="Times New Roman" w:hAnsi="Times New Roman"/>
                <w:color w:val="FF0000"/>
              </w:rPr>
              <w:t>es such inquiry or investigation</w:t>
            </w:r>
            <w:r>
              <w:rPr>
                <w:rFonts w:ascii="Times New Roman" w:hAnsi="Times New Roman"/>
                <w:color w:val="FF0000"/>
              </w:rPr>
              <w:t>;</w:t>
            </w:r>
          </w:p>
          <w:p>
            <w:pPr>
              <w:tabs>
                <w:tab w:val="left" w:pos="480"/>
              </w:tabs>
              <w:snapToGrid w:val="0"/>
              <w:spacing w:before="120" w:beforeLines="50" w:after="120" w:afterLines="50"/>
              <w:rPr>
                <w:rFonts w:ascii="Times New Roman" w:hAnsi="Times New Roman"/>
                <w:color w:val="FF0000"/>
              </w:rPr>
            </w:pPr>
            <w:r>
              <w:rPr>
                <w:rFonts w:ascii="Times New Roman" w:hAnsi="Times New Roman"/>
                <w:color w:val="FF0000"/>
              </w:rPr>
              <w:t>(iii)</w:t>
            </w:r>
            <w:r>
              <w:rPr>
                <w:rFonts w:ascii="Times New Roman" w:hAnsi="Times New Roman"/>
                <w:color w:val="FF0000"/>
              </w:rPr>
              <w:tab/>
            </w:r>
            <w:r>
              <w:rPr>
                <w:rFonts w:ascii="Times New Roman" w:hAnsi="Times New Roman"/>
                <w:color w:val="FF0000"/>
              </w:rPr>
              <w:t>fail</w:t>
            </w:r>
            <w:r>
              <w:rPr>
                <w:rFonts w:hint="eastAsia" w:ascii="Times New Roman" w:hAnsi="Times New Roman"/>
                <w:color w:val="FF0000"/>
              </w:rPr>
              <w:t>s</w:t>
            </w:r>
            <w:r>
              <w:rPr>
                <w:rFonts w:ascii="Times New Roman" w:hAnsi="Times New Roman"/>
                <w:color w:val="FF0000"/>
              </w:rPr>
              <w:t xml:space="preserve"> to file an actual control relationship to circumvent the Exchange’s </w:t>
            </w:r>
            <w:r>
              <w:rPr>
                <w:rFonts w:hint="eastAsia" w:ascii="Times New Roman" w:hAnsi="Times New Roman"/>
                <w:color w:val="FF0000"/>
              </w:rPr>
              <w:t xml:space="preserve">administration </w:t>
            </w:r>
            <w:r>
              <w:rPr>
                <w:rFonts w:ascii="Times New Roman" w:hAnsi="Times New Roman"/>
                <w:color w:val="FF0000"/>
              </w:rPr>
              <w:t>of abnormal trading behaviors, risk control management, or the like; or</w:t>
            </w:r>
          </w:p>
          <w:p>
            <w:pPr>
              <w:tabs>
                <w:tab w:val="left" w:pos="480"/>
              </w:tabs>
              <w:snapToGrid w:val="0"/>
              <w:spacing w:before="120" w:beforeLines="50" w:after="120" w:afterLines="50"/>
              <w:rPr>
                <w:rFonts w:ascii="Times New Roman" w:hAnsi="Times New Roman" w:cs="Times New Roman"/>
                <w:b/>
                <w:bCs/>
                <w:color w:val="FF0000"/>
                <w:sz w:val="28"/>
                <w:szCs w:val="28"/>
              </w:rPr>
            </w:pPr>
            <w:r>
              <w:rPr>
                <w:rFonts w:ascii="Times New Roman" w:hAnsi="Times New Roman"/>
                <w:color w:val="FF0000"/>
              </w:rPr>
              <w:t>(iv)</w:t>
            </w:r>
            <w:r>
              <w:rPr>
                <w:rFonts w:ascii="Times New Roman" w:hAnsi="Times New Roman"/>
                <w:color w:val="FF0000"/>
              </w:rPr>
              <w:tab/>
            </w:r>
            <w:r>
              <w:rPr>
                <w:rFonts w:ascii="Times New Roman" w:hAnsi="Times New Roman"/>
                <w:color w:val="FF0000"/>
              </w:rPr>
              <w:t>provid</w:t>
            </w:r>
            <w:r>
              <w:rPr>
                <w:rFonts w:hint="eastAsia" w:ascii="Times New Roman" w:hAnsi="Times New Roman"/>
                <w:color w:val="FF0000"/>
              </w:rPr>
              <w:t>es</w:t>
            </w:r>
            <w:r>
              <w:rPr>
                <w:rFonts w:ascii="Times New Roman" w:hAnsi="Times New Roman"/>
                <w:color w:val="FF0000"/>
              </w:rPr>
              <w:t xml:space="preserve"> false materials </w:t>
            </w:r>
            <w:r>
              <w:rPr>
                <w:rFonts w:hint="eastAsia" w:ascii="Times New Roman" w:hAnsi="Times New Roman"/>
                <w:color w:val="FF0000"/>
              </w:rPr>
              <w:t>to</w:t>
            </w:r>
            <w:r>
              <w:rPr>
                <w:rFonts w:ascii="Times New Roman" w:hAnsi="Times New Roman"/>
                <w:color w:val="FF0000"/>
              </w:rPr>
              <w:t xml:space="preserve"> apply for the </w:t>
            </w:r>
            <w:r>
              <w:rPr>
                <w:rFonts w:hint="eastAsia" w:ascii="Times New Roman" w:hAnsi="Times New Roman"/>
                <w:color w:val="FF0000"/>
              </w:rPr>
              <w:t>removal of</w:t>
            </w:r>
            <w:r>
              <w:rPr>
                <w:rFonts w:ascii="Times New Roman" w:hAnsi="Times New Roman"/>
                <w:color w:val="FF0000"/>
              </w:rPr>
              <w:t xml:space="preserve"> an actual control relationship.</w:t>
            </w:r>
          </w:p>
        </w:tc>
        <w:tc>
          <w:tcPr>
            <w:tcW w:w="7087" w:type="dxa"/>
            <w:vAlign w:val="top"/>
          </w:tcPr>
          <w:p>
            <w:pPr>
              <w:tabs>
                <w:tab w:val="left" w:pos="1204"/>
              </w:tabs>
              <w:snapToGrid w:val="0"/>
              <w:spacing w:before="120" w:beforeLines="50" w:after="120" w:afterLines="50"/>
              <w:rPr>
                <w:rFonts w:hint="eastAsia" w:ascii="Times New Roman" w:hAnsi="Times New Roman" w:cs="Times New Roman"/>
                <w:sz w:val="28"/>
                <w:szCs w:val="28"/>
              </w:rPr>
            </w:pPr>
            <w:r>
              <w:rPr>
                <w:rFonts w:ascii="Times New Roman" w:hAnsi="Times New Roman" w:eastAsia="宋体" w:cs="Times New Roman"/>
                <w:b/>
              </w:rPr>
              <w:t>Article 12</w:t>
            </w:r>
            <w:r>
              <w:rPr>
                <w:rFonts w:ascii="Times New Roman" w:hAnsi="Times New Roman" w:eastAsia="宋体" w:cs="Times New Roman"/>
                <w:bCs/>
              </w:rPr>
              <w:tab/>
            </w:r>
            <w:r>
              <w:rPr>
                <w:rFonts w:ascii="Times New Roman" w:hAnsi="Times New Roman" w:eastAsia="宋体" w:cs="Times New Roman"/>
                <w:bCs/>
              </w:rPr>
              <w:t>If any Client, Non-FF Member</w:t>
            </w:r>
            <w:r>
              <w:rPr>
                <w:rFonts w:ascii="Times New Roman" w:hAnsi="Times New Roman" w:eastAsia="宋体" w:cs="Times New Roman"/>
              </w:rPr>
              <w:t>, or OSNBP</w:t>
            </w:r>
            <w:r>
              <w:rPr>
                <w:rFonts w:ascii="Times New Roman" w:hAnsi="Times New Roman" w:eastAsia="宋体" w:cs="Times New Roman"/>
                <w:bCs/>
              </w:rPr>
              <w:t xml:space="preserve"> involved in an actual control relationship does not truthfully file relevant information or truthfully respond to the inquiry of the Exchange, or elects to withhold facts, evade inquiries, or otherwise do not cooperate with the Exchange in the filing or during investigations, the Exchange may adopt such measures as giving a verbal reminder, issuing a written warning, and suspending from opening new positions. If the circumstances are serious, the Exchange will take further actions in accordance with the </w:t>
            </w:r>
            <w:r>
              <w:rPr>
                <w:rFonts w:ascii="Times New Roman" w:hAnsi="Times New Roman" w:eastAsia="宋体" w:cs="Times New Roman"/>
                <w:bCs/>
                <w:i/>
                <w:iCs/>
              </w:rPr>
              <w:t>Enforcement Rules</w:t>
            </w:r>
            <w:r>
              <w:rPr>
                <w:rFonts w:ascii="Times New Roman" w:hAnsi="Times New Roman" w:eastAsia="宋体" w:cs="Times New Roman"/>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vAlign w:val="top"/>
          </w:tcPr>
          <w:p>
            <w:pPr>
              <w:tabs>
                <w:tab w:val="left" w:pos="1204"/>
              </w:tabs>
              <w:snapToGrid w:val="0"/>
              <w:spacing w:before="120" w:beforeLines="50" w:after="120" w:afterLines="50"/>
              <w:rPr>
                <w:rFonts w:ascii="Times New Roman" w:hAnsi="Times New Roman"/>
                <w:bCs/>
              </w:rPr>
            </w:pPr>
            <w:r>
              <w:rPr>
                <w:rFonts w:ascii="Times New Roman" w:hAnsi="Times New Roman"/>
                <w:b/>
              </w:rPr>
              <w:t>Article 13</w:t>
            </w:r>
            <w:r>
              <w:rPr>
                <w:rFonts w:ascii="Times New Roman" w:hAnsi="Times New Roman"/>
                <w:bCs/>
              </w:rPr>
              <w:tab/>
            </w:r>
            <w:r>
              <w:rPr>
                <w:rFonts w:ascii="Times New Roman" w:hAnsi="Times New Roman"/>
                <w:bCs/>
              </w:rPr>
              <w:t xml:space="preserve">The Exchange will order an </w:t>
            </w:r>
            <w:r>
              <w:rPr>
                <w:rFonts w:ascii="Times New Roman" w:hAnsi="Times New Roman"/>
              </w:rPr>
              <w:t>Account Opening Institution</w:t>
            </w:r>
            <w:r>
              <w:rPr>
                <w:rFonts w:ascii="Times New Roman" w:hAnsi="Times New Roman"/>
                <w:bCs/>
              </w:rPr>
              <w:t xml:space="preserve"> to make corrections and impose such measures </w:t>
            </w:r>
            <w:r>
              <w:rPr>
                <w:rFonts w:ascii="Times New Roman" w:hAnsi="Times New Roman"/>
                <w:bCs/>
                <w:color w:val="FF0000"/>
              </w:rPr>
              <w:t>giving a verbal reminder, issuing a written warning,</w:t>
            </w:r>
            <w:r>
              <w:rPr>
                <w:rFonts w:ascii="Times New Roman" w:hAnsi="Times New Roman"/>
                <w:dstrike/>
              </w:rPr>
              <w:t xml:space="preserve"> as sending an alert, arranging a meeting, issuing a warning letter,</w:t>
            </w:r>
            <w:r>
              <w:rPr>
                <w:rFonts w:ascii="Times New Roman" w:hAnsi="Times New Roman"/>
                <w:bCs/>
              </w:rPr>
              <w:t xml:space="preserve"> and giving an opinion letter if the FF Member:</w:t>
            </w:r>
          </w:p>
          <w:p>
            <w:pPr>
              <w:tabs>
                <w:tab w:val="left" w:pos="560"/>
              </w:tabs>
              <w:snapToGrid w:val="0"/>
              <w:spacing w:before="120" w:beforeLines="50" w:after="120" w:afterLines="50"/>
              <w:rPr>
                <w:rFonts w:ascii="Times New Roman" w:hAnsi="Times New Roman"/>
                <w:bCs/>
              </w:rPr>
            </w:pPr>
            <w:r>
              <w:rPr>
                <w:rFonts w:ascii="Times New Roman" w:hAnsi="Times New Roman"/>
                <w:bCs/>
              </w:rPr>
              <w:t>(i)</w:t>
            </w:r>
            <w:r>
              <w:rPr>
                <w:rFonts w:ascii="Times New Roman" w:hAnsi="Times New Roman"/>
                <w:bCs/>
              </w:rPr>
              <w:tab/>
            </w:r>
            <w:r>
              <w:rPr>
                <w:rFonts w:ascii="Times New Roman" w:hAnsi="Times New Roman"/>
                <w:bCs/>
              </w:rPr>
              <w:t>fails to timely, accurately, and fully inform Clients of the rules of the Exchange regarding accounts involving actual control relationship;</w:t>
            </w:r>
          </w:p>
          <w:p>
            <w:pPr>
              <w:tabs>
                <w:tab w:val="left" w:pos="560"/>
              </w:tabs>
              <w:snapToGrid w:val="0"/>
              <w:spacing w:before="120" w:beforeLines="50" w:after="120" w:afterLines="50"/>
              <w:rPr>
                <w:rFonts w:ascii="Times New Roman" w:hAnsi="Times New Roman"/>
                <w:bCs/>
              </w:rPr>
            </w:pPr>
            <w:r>
              <w:rPr>
                <w:rFonts w:ascii="Times New Roman" w:hAnsi="Times New Roman"/>
                <w:bCs/>
              </w:rPr>
              <w:t>(ii)</w:t>
            </w:r>
            <w:r>
              <w:rPr>
                <w:rFonts w:ascii="Times New Roman" w:hAnsi="Times New Roman"/>
                <w:bCs/>
              </w:rPr>
              <w:tab/>
            </w:r>
            <w:r>
              <w:rPr>
                <w:rFonts w:ascii="Times New Roman" w:hAnsi="Times New Roman"/>
                <w:bCs/>
              </w:rPr>
              <w:t>fails to timely, accurately, and fully input and update information regarding accounts involving actual control relationship;</w:t>
            </w:r>
          </w:p>
          <w:p>
            <w:pPr>
              <w:tabs>
                <w:tab w:val="left" w:pos="560"/>
              </w:tabs>
              <w:snapToGrid w:val="0"/>
              <w:spacing w:before="120" w:beforeLines="50" w:after="120" w:afterLines="50"/>
              <w:rPr>
                <w:rFonts w:ascii="Times New Roman" w:hAnsi="Times New Roman"/>
                <w:bCs/>
              </w:rPr>
            </w:pPr>
            <w:r>
              <w:rPr>
                <w:rFonts w:ascii="Times New Roman" w:hAnsi="Times New Roman"/>
                <w:bCs/>
              </w:rPr>
              <w:t>(iii)</w:t>
            </w:r>
            <w:r>
              <w:rPr>
                <w:rFonts w:ascii="Times New Roman" w:hAnsi="Times New Roman"/>
                <w:bCs/>
              </w:rPr>
              <w:tab/>
            </w:r>
            <w:r>
              <w:rPr>
                <w:rFonts w:ascii="Times New Roman" w:hAnsi="Times New Roman"/>
                <w:bCs/>
              </w:rPr>
              <w:t>condones, induces, incites, or assists Clients to make false filing or conceal facts;</w:t>
            </w:r>
          </w:p>
          <w:p>
            <w:pPr>
              <w:tabs>
                <w:tab w:val="left" w:pos="560"/>
              </w:tabs>
              <w:snapToGrid w:val="0"/>
              <w:spacing w:before="120" w:beforeLines="50" w:after="120" w:afterLines="50"/>
              <w:rPr>
                <w:rFonts w:ascii="Times New Roman" w:hAnsi="Times New Roman"/>
                <w:bCs/>
              </w:rPr>
            </w:pPr>
            <w:r>
              <w:rPr>
                <w:rFonts w:ascii="Times New Roman" w:hAnsi="Times New Roman"/>
                <w:bCs/>
              </w:rPr>
              <w:t>(iv)</w:t>
            </w:r>
            <w:r>
              <w:rPr>
                <w:rFonts w:ascii="Times New Roman" w:hAnsi="Times New Roman"/>
                <w:bCs/>
              </w:rPr>
              <w:tab/>
            </w:r>
            <w:r>
              <w:rPr>
                <w:rFonts w:ascii="Times New Roman" w:hAnsi="Times New Roman"/>
                <w:bCs/>
              </w:rPr>
              <w:t xml:space="preserve">fails to keep Client materials properly according to applicable </w:t>
            </w:r>
            <w:r>
              <w:rPr>
                <w:rFonts w:ascii="Times New Roman" w:hAnsi="Times New Roman" w:eastAsia="宋体" w:cs="Times New Roman"/>
              </w:rPr>
              <w:t>rules</w:t>
            </w:r>
            <w:r>
              <w:rPr>
                <w:rFonts w:ascii="Times New Roman" w:hAnsi="Times New Roman"/>
                <w:bCs/>
              </w:rPr>
              <w:t>;</w:t>
            </w:r>
          </w:p>
          <w:p>
            <w:pPr>
              <w:tabs>
                <w:tab w:val="left" w:pos="560"/>
              </w:tabs>
              <w:snapToGrid w:val="0"/>
              <w:spacing w:before="120" w:beforeLines="50" w:after="120" w:afterLines="50"/>
              <w:rPr>
                <w:rFonts w:ascii="Times New Roman" w:hAnsi="Times New Roman"/>
                <w:bCs/>
              </w:rPr>
            </w:pPr>
            <w:r>
              <w:rPr>
                <w:rFonts w:ascii="Times New Roman" w:hAnsi="Times New Roman"/>
                <w:bCs/>
              </w:rPr>
              <w:t>(v)</w:t>
            </w:r>
            <w:r>
              <w:rPr>
                <w:rFonts w:ascii="Times New Roman" w:hAnsi="Times New Roman"/>
                <w:bCs/>
              </w:rPr>
              <w:tab/>
            </w:r>
            <w:r>
              <w:rPr>
                <w:rFonts w:ascii="Times New Roman" w:hAnsi="Times New Roman"/>
                <w:bCs/>
              </w:rPr>
              <w:t>fails to assist in the inquiry of Client’s accounts involving actual control relationship as required by the Exchange, or intentionally obstructs progress, or withholds or omits facts; or</w:t>
            </w:r>
          </w:p>
          <w:p>
            <w:pPr>
              <w:tabs>
                <w:tab w:val="left" w:pos="560"/>
              </w:tabs>
              <w:snapToGrid w:val="0"/>
              <w:spacing w:before="120" w:beforeLines="50" w:after="120" w:afterLines="50"/>
              <w:rPr>
                <w:rFonts w:ascii="Times New Roman" w:hAnsi="Times New Roman" w:cs="Times New Roman"/>
                <w:b/>
                <w:bCs/>
                <w:color w:val="FF0000"/>
                <w:sz w:val="28"/>
                <w:szCs w:val="28"/>
              </w:rPr>
            </w:pPr>
            <w:r>
              <w:rPr>
                <w:rFonts w:ascii="Times New Roman" w:hAnsi="Times New Roman"/>
                <w:bCs/>
              </w:rPr>
              <w:t>(vi)</w:t>
            </w:r>
            <w:r>
              <w:rPr>
                <w:rFonts w:ascii="Times New Roman" w:hAnsi="Times New Roman"/>
                <w:bCs/>
              </w:rPr>
              <w:tab/>
            </w:r>
            <w:r>
              <w:rPr>
                <w:rFonts w:ascii="Times New Roman" w:hAnsi="Times New Roman"/>
                <w:bCs/>
              </w:rPr>
              <w:t>falls under other circumstances as determined by the Exchange.</w:t>
            </w:r>
          </w:p>
        </w:tc>
        <w:tc>
          <w:tcPr>
            <w:tcW w:w="7087" w:type="dxa"/>
            <w:vAlign w:val="top"/>
          </w:tcPr>
          <w:p>
            <w:pPr>
              <w:tabs>
                <w:tab w:val="left" w:pos="1204"/>
              </w:tabs>
              <w:snapToGrid w:val="0"/>
              <w:spacing w:before="120" w:beforeLines="50" w:after="120" w:afterLines="50"/>
              <w:rPr>
                <w:rFonts w:ascii="Times New Roman" w:hAnsi="Times New Roman" w:eastAsia="宋体" w:cs="Times New Roman"/>
                <w:bCs/>
              </w:rPr>
            </w:pPr>
            <w:r>
              <w:rPr>
                <w:rFonts w:ascii="Times New Roman" w:hAnsi="Times New Roman" w:eastAsia="宋体" w:cs="Times New Roman"/>
                <w:b/>
              </w:rPr>
              <w:t>Article 13</w:t>
            </w:r>
            <w:r>
              <w:rPr>
                <w:rFonts w:ascii="Times New Roman" w:hAnsi="Times New Roman" w:eastAsia="宋体" w:cs="Times New Roman"/>
                <w:bCs/>
              </w:rPr>
              <w:tab/>
            </w:r>
            <w:r>
              <w:rPr>
                <w:rFonts w:ascii="Times New Roman" w:hAnsi="Times New Roman" w:eastAsia="宋体" w:cs="Times New Roman"/>
                <w:bCs/>
              </w:rPr>
              <w:t xml:space="preserve">The Exchange will order an </w:t>
            </w:r>
            <w:r>
              <w:rPr>
                <w:rFonts w:ascii="Times New Roman" w:hAnsi="Times New Roman" w:eastAsia="宋体" w:cs="Times New Roman"/>
              </w:rPr>
              <w:t>Account Opening Institution</w:t>
            </w:r>
            <w:r>
              <w:rPr>
                <w:rFonts w:ascii="Times New Roman" w:hAnsi="Times New Roman" w:eastAsia="宋体" w:cs="Times New Roman"/>
                <w:bCs/>
              </w:rPr>
              <w:t xml:space="preserve"> to make corrections and impose such measures as sending an alert, arranging a meeting, issuing a warning letter, and giving an opinion letter if the FF Member:</w:t>
            </w:r>
          </w:p>
          <w:p>
            <w:pPr>
              <w:tabs>
                <w:tab w:val="left" w:pos="560"/>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bCs/>
              </w:rPr>
              <w:t>(i)</w:t>
            </w:r>
            <w:r>
              <w:rPr>
                <w:rFonts w:ascii="Times New Roman" w:hAnsi="Times New Roman" w:eastAsia="宋体" w:cs="Times New Roman"/>
                <w:bCs/>
              </w:rPr>
              <w:tab/>
            </w:r>
            <w:r>
              <w:rPr>
                <w:rFonts w:ascii="Times New Roman" w:hAnsi="Times New Roman" w:eastAsia="宋体" w:cs="Times New Roman"/>
              </w:rPr>
              <w:t>fails to timely, accurately, and fully inform Clients of the rules of the Exchange regarding accounts involving actual control relationship;</w:t>
            </w:r>
          </w:p>
          <w:p>
            <w:pPr>
              <w:tabs>
                <w:tab w:val="left" w:pos="560"/>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(ii)</w:t>
            </w:r>
            <w:r>
              <w:rPr>
                <w:rFonts w:ascii="Times New Roman" w:hAnsi="Times New Roman" w:eastAsia="宋体" w:cs="Times New Roman"/>
              </w:rPr>
              <w:tab/>
            </w:r>
            <w:r>
              <w:rPr>
                <w:rFonts w:ascii="Times New Roman" w:hAnsi="Times New Roman" w:eastAsia="宋体" w:cs="Times New Roman"/>
              </w:rPr>
              <w:t>fails to timely, accurately, and fully input and update information regarding accounts involving actual control relationship;</w:t>
            </w:r>
          </w:p>
          <w:p>
            <w:pPr>
              <w:tabs>
                <w:tab w:val="left" w:pos="560"/>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(iii)</w:t>
            </w:r>
            <w:r>
              <w:rPr>
                <w:rFonts w:ascii="Times New Roman" w:hAnsi="Times New Roman" w:eastAsia="宋体" w:cs="Times New Roman"/>
              </w:rPr>
              <w:tab/>
            </w:r>
            <w:r>
              <w:rPr>
                <w:rFonts w:ascii="Times New Roman" w:hAnsi="Times New Roman" w:eastAsia="宋体" w:cs="Times New Roman"/>
              </w:rPr>
              <w:t>condones, induces, incites, or assists Clients to make false filing or conceal facts;</w:t>
            </w:r>
          </w:p>
          <w:p>
            <w:pPr>
              <w:tabs>
                <w:tab w:val="left" w:pos="560"/>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(iv)</w:t>
            </w:r>
            <w:r>
              <w:rPr>
                <w:rFonts w:ascii="Times New Roman" w:hAnsi="Times New Roman" w:eastAsia="宋体" w:cs="Times New Roman"/>
              </w:rPr>
              <w:tab/>
            </w:r>
            <w:r>
              <w:rPr>
                <w:rFonts w:ascii="Times New Roman" w:hAnsi="Times New Roman" w:eastAsia="宋体" w:cs="Times New Roman"/>
              </w:rPr>
              <w:t>fails to keep Client materials properly according to applicable rules;</w:t>
            </w:r>
          </w:p>
          <w:p>
            <w:pPr>
              <w:tabs>
                <w:tab w:val="left" w:pos="560"/>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(v)</w:t>
            </w:r>
            <w:r>
              <w:rPr>
                <w:rFonts w:ascii="Times New Roman" w:hAnsi="Times New Roman" w:eastAsia="宋体" w:cs="Times New Roman"/>
              </w:rPr>
              <w:tab/>
            </w:r>
            <w:r>
              <w:rPr>
                <w:rFonts w:ascii="Times New Roman" w:hAnsi="Times New Roman" w:eastAsia="宋体" w:cs="Times New Roman"/>
              </w:rPr>
              <w:t>fails to assist in the inquiry of Client’s accounts involving actual control relationship as required by the Exchange, or intentionally obstructs progress, or withholds or omits facts; or</w:t>
            </w:r>
          </w:p>
          <w:p>
            <w:pPr>
              <w:tabs>
                <w:tab w:val="left" w:pos="560"/>
              </w:tabs>
              <w:snapToGrid w:val="0"/>
              <w:spacing w:before="120" w:beforeLines="50" w:after="120" w:afterLines="50"/>
              <w:rPr>
                <w:rFonts w:hint="eastAsia" w:ascii="Times New Roman" w:hAnsi="Times New Roman" w:cs="Times New Roman"/>
                <w:sz w:val="28"/>
                <w:szCs w:val="28"/>
              </w:rPr>
            </w:pPr>
            <w:r>
              <w:rPr>
                <w:rFonts w:ascii="Times New Roman" w:hAnsi="Times New Roman" w:eastAsia="宋体" w:cs="Times New Roman"/>
              </w:rPr>
              <w:t>(vi)</w:t>
            </w:r>
            <w:r>
              <w:rPr>
                <w:rFonts w:ascii="Times New Roman" w:hAnsi="Times New Roman" w:eastAsia="宋体" w:cs="Times New Roman"/>
              </w:rPr>
              <w:tab/>
            </w:r>
            <w:r>
              <w:rPr>
                <w:rFonts w:ascii="Times New Roman" w:hAnsi="Times New Roman" w:eastAsia="宋体" w:cs="Times New Roman"/>
              </w:rPr>
              <w:t>falls under other circumstances as determined by the Exchange.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vAlign w:val="top"/>
          </w:tcPr>
          <w:p>
            <w:pPr>
              <w:tabs>
                <w:tab w:val="left" w:pos="1204"/>
              </w:tabs>
              <w:snapToGrid w:val="0"/>
              <w:spacing w:before="120" w:beforeLines="50" w:after="120" w:afterLines="50"/>
              <w:rPr>
                <w:rFonts w:ascii="Times New Roman" w:hAnsi="Times New Roman" w:cs="Times New Roman"/>
                <w:b/>
                <w:bCs/>
                <w:color w:val="FF0000"/>
                <w:sz w:val="28"/>
                <w:szCs w:val="28"/>
              </w:rPr>
            </w:pPr>
            <w:r>
              <w:rPr>
                <w:rFonts w:ascii="Times New Roman" w:hAnsi="Times New Roman"/>
                <w:b/>
              </w:rPr>
              <w:t>Article 14</w:t>
            </w:r>
            <w:r>
              <w:rPr>
                <w:rFonts w:ascii="Times New Roman" w:hAnsi="Times New Roman"/>
                <w:bCs/>
              </w:rPr>
              <w:tab/>
            </w:r>
            <w:r>
              <w:rPr>
                <w:rFonts w:ascii="Times New Roman" w:hAnsi="Times New Roman"/>
                <w:bCs/>
              </w:rPr>
              <w:t xml:space="preserve">The Exchange shall consider the </w:t>
            </w:r>
            <w:r>
              <w:rPr>
                <w:rFonts w:ascii="Times New Roman" w:hAnsi="Times New Roman"/>
                <w:bCs/>
                <w:color w:val="FF0000"/>
              </w:rPr>
              <w:t xml:space="preserve">orders, </w:t>
            </w:r>
            <w:r>
              <w:rPr>
                <w:rFonts w:ascii="Times New Roman" w:hAnsi="Times New Roman"/>
                <w:bCs/>
              </w:rPr>
              <w:t>trades, positions, and other relevant trading data of a group of accounts involving actual control relationship on an aggregate basis when enforcing such rules as position limit, trading limit</w:t>
            </w:r>
            <w:r>
              <w:rPr>
                <w:rFonts w:ascii="Times New Roman" w:hAnsi="Times New Roman"/>
              </w:rPr>
              <w:t xml:space="preserve">, </w:t>
            </w:r>
            <w:r>
              <w:rPr>
                <w:rFonts w:ascii="Times New Roman" w:hAnsi="Times New Roman"/>
                <w:dstrike/>
              </w:rPr>
              <w:t xml:space="preserve">large trader position reporting, and </w:t>
            </w:r>
            <w:r>
              <w:rPr>
                <w:rFonts w:ascii="Times New Roman" w:hAnsi="Times New Roman"/>
                <w:bCs/>
              </w:rPr>
              <w:t>management of abnormal trading behaviors</w:t>
            </w:r>
            <w:r>
              <w:rPr>
                <w:rFonts w:hint="eastAsia" w:ascii="Times New Roman" w:hAnsi="Times New Roman"/>
                <w:bCs/>
                <w:color w:val="FF0000"/>
              </w:rPr>
              <w:t>,</w:t>
            </w:r>
            <w:r>
              <w:rPr>
                <w:rFonts w:ascii="Times New Roman" w:hAnsi="Times New Roman"/>
                <w:color w:val="FF0000"/>
              </w:rPr>
              <w:t xml:space="preserve"> </w:t>
            </w:r>
            <w:r>
              <w:rPr>
                <w:rFonts w:hint="eastAsia" w:ascii="Times New Roman" w:hAnsi="Times New Roman"/>
                <w:color w:val="FF0000"/>
              </w:rPr>
              <w:t xml:space="preserve">and </w:t>
            </w:r>
            <w:r>
              <w:rPr>
                <w:rFonts w:ascii="Times New Roman" w:hAnsi="Times New Roman"/>
                <w:color w:val="FF0000"/>
              </w:rPr>
              <w:t>large trader position reporting</w:t>
            </w:r>
            <w:r>
              <w:rPr>
                <w:rFonts w:ascii="Times New Roman" w:hAnsi="Times New Roman"/>
                <w:bCs/>
              </w:rPr>
              <w:t>.</w:t>
            </w:r>
          </w:p>
        </w:tc>
        <w:tc>
          <w:tcPr>
            <w:tcW w:w="7087" w:type="dxa"/>
            <w:vAlign w:val="top"/>
          </w:tcPr>
          <w:p>
            <w:pPr>
              <w:tabs>
                <w:tab w:val="left" w:pos="1204"/>
              </w:tabs>
              <w:snapToGrid w:val="0"/>
              <w:spacing w:before="120" w:beforeLines="50" w:after="120" w:afterLines="50"/>
              <w:rPr>
                <w:rFonts w:hint="eastAsia" w:ascii="Times New Roman" w:hAnsi="Times New Roman" w:cs="Times New Roman"/>
                <w:sz w:val="28"/>
                <w:szCs w:val="28"/>
              </w:rPr>
            </w:pPr>
            <w:r>
              <w:rPr>
                <w:rFonts w:ascii="Times New Roman" w:hAnsi="Times New Roman" w:eastAsia="宋体" w:cs="Times New Roman"/>
                <w:b/>
              </w:rPr>
              <w:t>Article 14</w:t>
            </w:r>
            <w:r>
              <w:rPr>
                <w:rFonts w:ascii="Times New Roman" w:hAnsi="Times New Roman" w:eastAsia="宋体" w:cs="Times New Roman"/>
                <w:bCs/>
              </w:rPr>
              <w:tab/>
            </w:r>
            <w:r>
              <w:rPr>
                <w:rFonts w:ascii="Times New Roman" w:hAnsi="Times New Roman" w:eastAsia="宋体" w:cs="Times New Roman"/>
                <w:bCs/>
              </w:rPr>
              <w:t>The Exchange shall consider the trades, positions, and other relevant trading data of a group of accounts involving actual control relationship on an aggregate basis when enforcing such rules as position limit, trading limit</w:t>
            </w:r>
            <w:r>
              <w:rPr>
                <w:rFonts w:ascii="Times New Roman" w:hAnsi="Times New Roman" w:eastAsia="宋体" w:cs="Times New Roman"/>
              </w:rPr>
              <w:t>, large trader position reporting,</w:t>
            </w:r>
            <w:r>
              <w:rPr>
                <w:rFonts w:ascii="Times New Roman" w:hAnsi="Times New Roman" w:eastAsia="宋体" w:cs="Times New Roman"/>
                <w:bCs/>
              </w:rPr>
              <w:t xml:space="preserve"> and management of abnormal trading behaviors.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vAlign w:val="top"/>
          </w:tcPr>
          <w:p>
            <w:pPr>
              <w:tabs>
                <w:tab w:val="left" w:pos="1204"/>
              </w:tabs>
              <w:snapToGrid w:val="0"/>
              <w:spacing w:before="120" w:beforeLines="50" w:after="120" w:afterLines="50"/>
              <w:rPr>
                <w:rFonts w:ascii="Times New Roman" w:hAnsi="Times New Roman" w:cs="Times New Roman"/>
                <w:b/>
                <w:bCs/>
                <w:color w:val="FF0000"/>
                <w:sz w:val="28"/>
                <w:szCs w:val="28"/>
              </w:rPr>
            </w:pPr>
            <w:r>
              <w:rPr>
                <w:rFonts w:ascii="Times New Roman" w:hAnsi="Times New Roman"/>
                <w:b/>
                <w:bCs/>
                <w:color w:val="FF0000"/>
              </w:rPr>
              <w:t xml:space="preserve">Article </w:t>
            </w:r>
            <w:r>
              <w:rPr>
                <w:rFonts w:hint="eastAsia" w:ascii="Times New Roman" w:hAnsi="Times New Roman"/>
                <w:b/>
                <w:bCs/>
                <w:color w:val="FF0000"/>
                <w:lang w:val="en-US" w:eastAsia="zh-CN"/>
              </w:rPr>
              <w:t>19+X</w:t>
            </w:r>
            <w:r>
              <w:rPr>
                <w:rFonts w:ascii="Times New Roman" w:hAnsi="Times New Roman"/>
                <w:color w:val="FF0000"/>
              </w:rPr>
              <w:tab/>
            </w:r>
            <w:r>
              <w:rPr>
                <w:rFonts w:ascii="Times New Roman" w:hAnsi="Times New Roman"/>
                <w:color w:val="FF0000"/>
              </w:rPr>
              <w:t xml:space="preserve">Any violation of these </w:t>
            </w:r>
            <w:r>
              <w:rPr>
                <w:rFonts w:ascii="Times New Roman" w:hAnsi="Times New Roman"/>
                <w:i/>
                <w:iCs/>
                <w:color w:val="FF0000"/>
              </w:rPr>
              <w:t>Actual Control Account Rules</w:t>
            </w:r>
            <w:r>
              <w:rPr>
                <w:rFonts w:ascii="Times New Roman" w:hAnsi="Times New Roman"/>
                <w:color w:val="FF0000"/>
              </w:rPr>
              <w:t xml:space="preserve"> shall be handled by the Exchange in accordance with the Enforcement Rules.</w:t>
            </w:r>
          </w:p>
        </w:tc>
        <w:tc>
          <w:tcPr>
            <w:tcW w:w="7087" w:type="dxa"/>
            <w:vAlign w:val="top"/>
          </w:tcPr>
          <w:p>
            <w:pPr>
              <w:snapToGrid w:val="0"/>
              <w:spacing w:before="120" w:beforeLines="50" w:after="120" w:afterLines="50"/>
              <w:rPr>
                <w:rFonts w:hint="eastAsia" w:ascii="Times New Roman" w:hAnsi="Times New Roman" w:cs="Times New Roman"/>
                <w:sz w:val="28"/>
                <w:szCs w:val="28"/>
              </w:rPr>
            </w:pPr>
            <w:r>
              <w:rPr>
                <w:rFonts w:hint="eastAsia" w:ascii="Times New Roman" w:hAnsi="Times New Roman" w:eastAsia="宋体" w:cs="Times New Roman"/>
                <w:lang w:eastAsia="zh-CN"/>
              </w:rPr>
              <w:t>(</w:t>
            </w:r>
            <w:r>
              <w:rPr>
                <w:rFonts w:ascii="Times New Roman" w:hAnsi="Times New Roman" w:eastAsia="宋体" w:cs="Times New Roman"/>
                <w:lang w:eastAsia="zh-CN"/>
              </w:rPr>
              <w:t>New</w:t>
            </w:r>
            <w:r>
              <w:rPr>
                <w:rFonts w:hint="eastAsia" w:ascii="Times New Roman" w:hAnsi="Times New Roman" w:eastAsia="宋体" w:cs="Times New Roman"/>
                <w:lang w:eastAsia="zh-CN"/>
              </w:rPr>
              <w:t>ly added</w:t>
            </w:r>
            <w:r>
              <w:rPr>
                <w:rFonts w:ascii="Times New Roman" w:hAnsi="Times New Roman" w:eastAsia="宋体" w:cs="Times New Roman"/>
                <w:lang w:eastAsia="zh-CN"/>
              </w:rPr>
              <w:t xml:space="preserve"> </w:t>
            </w:r>
            <w:r>
              <w:rPr>
                <w:rFonts w:hint="eastAsia" w:ascii="Times New Roman" w:hAnsi="Times New Roman" w:eastAsia="宋体" w:cs="Times New Roman"/>
                <w:lang w:eastAsia="zh-CN"/>
              </w:rPr>
              <w:t>article</w:t>
            </w:r>
            <w:r>
              <w:rPr>
                <w:rFonts w:ascii="Times New Roman" w:hAnsi="Times New Roman" w:eastAsia="宋体" w:cs="Times New Roman"/>
                <w:lang w:eastAsia="zh-CN"/>
              </w:rPr>
              <w:t xml:space="preserve">; no corresponding content in the original </w:t>
            </w:r>
            <w:r>
              <w:rPr>
                <w:rFonts w:hint="eastAsia" w:ascii="Times New Roman" w:hAnsi="Times New Roman" w:eastAsia="宋体" w:cs="Times New Roman"/>
                <w:lang w:eastAsia="zh-CN"/>
              </w:rPr>
              <w:t>version</w:t>
            </w:r>
            <w:r>
              <w:rPr>
                <w:rFonts w:ascii="Times New Roman" w:hAnsi="Times New Roman" w:eastAsia="宋体" w:cs="Times New Roman"/>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vAlign w:val="top"/>
          </w:tcPr>
          <w:p>
            <w:pPr>
              <w:tabs>
                <w:tab w:val="left" w:pos="1204"/>
              </w:tabs>
              <w:snapToGrid w:val="0"/>
              <w:spacing w:before="120" w:beforeLines="50" w:after="120" w:afterLines="50"/>
              <w:rPr>
                <w:rFonts w:ascii="Times New Roman" w:hAnsi="Times New Roman" w:cs="Times New Roman"/>
                <w:b/>
                <w:bCs/>
                <w:color w:val="FF0000"/>
                <w:sz w:val="28"/>
                <w:szCs w:val="28"/>
              </w:rPr>
            </w:pPr>
            <w:r>
              <w:rPr>
                <w:rFonts w:ascii="Times New Roman" w:hAnsi="Times New Roman" w:eastAsia="宋体" w:cs="Times New Roman"/>
                <w:b/>
                <w:bCs/>
              </w:rPr>
              <w:t>Article 21</w:t>
            </w:r>
            <w:r>
              <w:rPr>
                <w:rFonts w:ascii="Times New Roman" w:hAnsi="Times New Roman"/>
                <w:b/>
                <w:bCs/>
              </w:rPr>
              <w:tab/>
            </w:r>
            <w:r>
              <w:rPr>
                <w:rFonts w:ascii="Times New Roman" w:hAnsi="Times New Roman"/>
              </w:rPr>
              <w:t xml:space="preserve">These </w:t>
            </w:r>
            <w:r>
              <w:rPr>
                <w:rFonts w:ascii="Times New Roman" w:hAnsi="Times New Roman"/>
                <w:i/>
                <w:iCs/>
              </w:rPr>
              <w:t>Actual Control Account Rules</w:t>
            </w:r>
            <w:r>
              <w:rPr>
                <w:rFonts w:ascii="Times New Roman" w:hAnsi="Times New Roman"/>
              </w:rPr>
              <w:t xml:space="preserve"> take effect on </w:t>
            </w:r>
            <w:r>
              <w:rPr>
                <w:rFonts w:hint="eastAsia" w:ascii="Times New Roman" w:hAnsi="Times New Roman" w:eastAsia="仿宋_GB2312"/>
                <w:color w:val="FF0000"/>
              </w:rPr>
              <w:t xml:space="preserve">October 20, </w:t>
            </w:r>
            <w:bookmarkStart w:id="0" w:name="_GoBack"/>
            <w:bookmarkEnd w:id="0"/>
            <w:r>
              <w:rPr>
                <w:rFonts w:ascii="Times New Roman" w:hAnsi="Times New Roman"/>
                <w:dstrike/>
              </w:rPr>
              <w:t xml:space="preserve">August 8, </w:t>
            </w:r>
            <w:r>
              <w:rPr>
                <w:rFonts w:ascii="Times New Roman" w:hAnsi="Times New Roman" w:eastAsia="仿宋_GB2312"/>
              </w:rPr>
              <w:t>202</w:t>
            </w:r>
            <w:r>
              <w:rPr>
                <w:rFonts w:ascii="Times New Roman" w:hAnsi="Times New Roman" w:eastAsia="仿宋_GB2312"/>
                <w:color w:val="FF0000"/>
              </w:rPr>
              <w:t>6</w:t>
            </w:r>
            <w:r>
              <w:rPr>
                <w:rFonts w:ascii="Times New Roman" w:hAnsi="Times New Roman"/>
                <w:dstrike/>
              </w:rPr>
              <w:t>5</w:t>
            </w:r>
            <w:r>
              <w:rPr>
                <w:rFonts w:ascii="Times New Roman" w:hAnsi="Times New Roman"/>
              </w:rPr>
              <w:t>.</w:t>
            </w:r>
          </w:p>
        </w:tc>
        <w:tc>
          <w:tcPr>
            <w:tcW w:w="7087" w:type="dxa"/>
            <w:vAlign w:val="top"/>
          </w:tcPr>
          <w:p>
            <w:pPr>
              <w:tabs>
                <w:tab w:val="left" w:pos="1204"/>
              </w:tabs>
              <w:snapToGrid w:val="0"/>
              <w:spacing w:before="120" w:beforeLines="50" w:after="120" w:afterLines="50"/>
              <w:rPr>
                <w:rFonts w:hint="eastAsia" w:ascii="Times New Roman" w:hAnsi="Times New Roman" w:cs="Times New Roman"/>
                <w:sz w:val="28"/>
                <w:szCs w:val="28"/>
              </w:rPr>
            </w:pPr>
            <w:r>
              <w:rPr>
                <w:rFonts w:ascii="Times New Roman" w:hAnsi="Times New Roman" w:eastAsia="宋体" w:cs="Times New Roman"/>
                <w:b/>
                <w:bCs/>
              </w:rPr>
              <w:t>Article 21</w:t>
            </w:r>
            <w:r>
              <w:rPr>
                <w:rFonts w:ascii="Times New Roman" w:hAnsi="Times New Roman" w:eastAsia="宋体" w:cs="Times New Roman"/>
                <w:b/>
                <w:bCs/>
              </w:rPr>
              <w:tab/>
            </w:r>
            <w:r>
              <w:rPr>
                <w:rFonts w:ascii="Times New Roman" w:hAnsi="Times New Roman" w:eastAsia="宋体" w:cs="Times New Roman"/>
              </w:rPr>
              <w:t xml:space="preserve">These </w:t>
            </w:r>
            <w:r>
              <w:rPr>
                <w:rFonts w:ascii="Times New Roman" w:hAnsi="Times New Roman" w:eastAsia="宋体" w:cs="Times New Roman"/>
                <w:i/>
                <w:iCs/>
              </w:rPr>
              <w:t>Actual Control Account Rules</w:t>
            </w:r>
            <w:r>
              <w:rPr>
                <w:rFonts w:ascii="Times New Roman" w:hAnsi="Times New Roman" w:eastAsia="宋体" w:cs="Times New Roman"/>
              </w:rPr>
              <w:t xml:space="preserve"> take effect on August 8, 2025.</w:t>
            </w:r>
          </w:p>
        </w:tc>
      </w:tr>
    </w:tbl>
    <w:p>
      <w:pPr>
        <w:adjustRightInd w:val="0"/>
        <w:snapToGrid w:val="0"/>
        <w:spacing w:line="360" w:lineRule="auto"/>
        <w:jc w:val="both"/>
        <w:rPr>
          <w:rFonts w:ascii="Times New Roman" w:hAnsi="Times New Roman" w:cs="Times New Roman"/>
          <w:sz w:val="30"/>
          <w:szCs w:val="30"/>
        </w:rPr>
      </w:pPr>
    </w:p>
    <w:sectPr>
      <w:footerReference r:id="rId3" w:type="default"/>
      <w:pgSz w:w="16838" w:h="11906" w:orient="landscape"/>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等线">
    <w:altName w:val="宋体"/>
    <w:panose1 w:val="02010600030101010101"/>
    <w:charset w:val="86"/>
    <w:family w:val="auto"/>
    <w:pitch w:val="default"/>
    <w:sig w:usb0="00000000" w:usb1="00000000" w:usb2="00000016" w:usb3="00000000" w:csb0="0004000F" w:csb1="00000000"/>
  </w:font>
  <w:font w:name="等线">
    <w:altName w:val="华文中宋"/>
    <w:panose1 w:val="00000000000000000000"/>
    <w:charset w:val="86"/>
    <w:family w:val="auto"/>
    <w:pitch w:val="default"/>
    <w:sig w:usb0="00000000" w:usb1="00000000" w:usb2="00000000" w:usb3="00000000" w:csb0="00000000" w:csb1="00000000"/>
  </w:font>
  <w:font w:name="等线">
    <w:altName w:val="华文中宋"/>
    <w:panose1 w:val="00000000000000000000"/>
    <w:charset w:val="00"/>
    <w:family w:val="auto"/>
    <w:pitch w:val="default"/>
    <w:sig w:usb0="00000000" w:usb1="00000000" w:usb2="00000000" w:usb3="00000000" w:csb0="00000000" w:csb1="00000000"/>
  </w:font>
  <w:font w:name="方正大标宋简体">
    <w:panose1 w:val="02000000000000000000"/>
    <w:charset w:val="86"/>
    <w:family w:val="script"/>
    <w:pitch w:val="default"/>
    <w:sig w:usb0="00000001" w:usb1="08000000" w:usb2="00000000" w:usb3="00000000" w:csb0="00040000" w:csb1="00000000"/>
  </w:font>
  <w:font w:name="仿宋_GB2312">
    <w:altName w:val="宋体"/>
    <w:panose1 w:val="00000000000000000000"/>
    <w:charset w:val="00"/>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8</w:t>
    </w:r>
    <w:r>
      <w:rPr>
        <w:rFonts w:ascii="Times New Roman" w:hAnsi="Times New Roman"/>
      </w:rP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CF7"/>
    <w:rsid w:val="0001654C"/>
    <w:rsid w:val="000C0551"/>
    <w:rsid w:val="000F2A34"/>
    <w:rsid w:val="001E3CAD"/>
    <w:rsid w:val="002F0CE6"/>
    <w:rsid w:val="002F2499"/>
    <w:rsid w:val="002F29CF"/>
    <w:rsid w:val="00311F46"/>
    <w:rsid w:val="003632E1"/>
    <w:rsid w:val="00377192"/>
    <w:rsid w:val="003C0D85"/>
    <w:rsid w:val="003F50E5"/>
    <w:rsid w:val="004D43AB"/>
    <w:rsid w:val="00515DFE"/>
    <w:rsid w:val="00566D2D"/>
    <w:rsid w:val="005B79D5"/>
    <w:rsid w:val="00624EF3"/>
    <w:rsid w:val="006A6737"/>
    <w:rsid w:val="00764CF7"/>
    <w:rsid w:val="0077306E"/>
    <w:rsid w:val="00785667"/>
    <w:rsid w:val="007A4F4F"/>
    <w:rsid w:val="0082689C"/>
    <w:rsid w:val="008370DC"/>
    <w:rsid w:val="00857215"/>
    <w:rsid w:val="0086407D"/>
    <w:rsid w:val="00884DAF"/>
    <w:rsid w:val="00894BF3"/>
    <w:rsid w:val="008D658A"/>
    <w:rsid w:val="00931510"/>
    <w:rsid w:val="00991787"/>
    <w:rsid w:val="009C63D4"/>
    <w:rsid w:val="00AF1373"/>
    <w:rsid w:val="00B11779"/>
    <w:rsid w:val="00B247E4"/>
    <w:rsid w:val="00B45C2E"/>
    <w:rsid w:val="00C00DD9"/>
    <w:rsid w:val="00C43169"/>
    <w:rsid w:val="00C85448"/>
    <w:rsid w:val="00C91136"/>
    <w:rsid w:val="00CE02C2"/>
    <w:rsid w:val="00D845C3"/>
    <w:rsid w:val="00DE2479"/>
    <w:rsid w:val="00E60AD6"/>
    <w:rsid w:val="00F21C76"/>
    <w:rsid w:val="3BAB4D2C"/>
    <w:rsid w:val="5B3AF751"/>
    <w:rsid w:val="5BF76065"/>
    <w:rsid w:val="5DDDB041"/>
    <w:rsid w:val="66FE8C81"/>
    <w:rsid w:val="6AECBA31"/>
    <w:rsid w:val="6BCFFCCB"/>
    <w:rsid w:val="6BFB2319"/>
    <w:rsid w:val="74F6A554"/>
    <w:rsid w:val="77DEF862"/>
    <w:rsid w:val="7963CC92"/>
    <w:rsid w:val="7AE7D150"/>
    <w:rsid w:val="7B775448"/>
    <w:rsid w:val="7F3967BF"/>
    <w:rsid w:val="7FEB6C75"/>
    <w:rsid w:val="7FFF1BE8"/>
    <w:rsid w:val="9797DA8E"/>
    <w:rsid w:val="9EDF441F"/>
    <w:rsid w:val="9FB7806D"/>
    <w:rsid w:val="ABF0DA35"/>
    <w:rsid w:val="B3FF5AA7"/>
    <w:rsid w:val="B4DAC7AF"/>
    <w:rsid w:val="B5DDD56B"/>
    <w:rsid w:val="BEBBD3B9"/>
    <w:rsid w:val="C7EE788A"/>
    <w:rsid w:val="CBDE33E5"/>
    <w:rsid w:val="CDCE85BC"/>
    <w:rsid w:val="CFBD43A4"/>
    <w:rsid w:val="E79FF501"/>
    <w:rsid w:val="EAABE560"/>
    <w:rsid w:val="F7FBA4F5"/>
    <w:rsid w:val="F7FBF157"/>
    <w:rsid w:val="FBFB2389"/>
    <w:rsid w:val="FCA75FA2"/>
    <w:rsid w:val="FEF75180"/>
    <w:rsid w:val="FFBB7BF2"/>
    <w:rsid w:val="FFCA8D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adjustRightInd w:val="0"/>
      <w:snapToGrid w:val="0"/>
      <w:spacing w:after="120" w:afterLines="50" w:line="259" w:lineRule="auto"/>
      <w:jc w:val="center"/>
      <w:outlineLvl w:val="0"/>
    </w:pPr>
    <w:rPr>
      <w:rFonts w:ascii="Times New Roman" w:hAnsi="Times New Roman"/>
      <w:b/>
      <w:bCs/>
      <w:kern w:val="0"/>
      <w:sz w:val="28"/>
      <w:szCs w:val="28"/>
    </w:rPr>
  </w:style>
  <w:style w:type="paragraph" w:styleId="3">
    <w:name w:val="heading 2"/>
    <w:basedOn w:val="1"/>
    <w:next w:val="1"/>
    <w:unhideWhenUsed/>
    <w:qFormat/>
    <w:uiPriority w:val="9"/>
    <w:pPr>
      <w:widowControl/>
      <w:tabs>
        <w:tab w:val="left" w:pos="1560"/>
      </w:tabs>
      <w:adjustRightInd w:val="0"/>
      <w:snapToGrid w:val="0"/>
      <w:spacing w:after="240" w:afterLines="100" w:line="259" w:lineRule="auto"/>
      <w:jc w:val="center"/>
      <w:outlineLvl w:val="1"/>
    </w:pPr>
    <w:rPr>
      <w:rFonts w:ascii="Times New Roman" w:hAnsi="Times New Roman"/>
      <w:b/>
      <w:sz w:val="24"/>
      <w:szCs w:val="2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0"/>
    <w:semiHidden/>
    <w:unhideWhenUsed/>
    <w:qFormat/>
    <w:uiPriority w:val="99"/>
    <w:pPr>
      <w:ind w:left="100" w:leftChars="2500"/>
    </w:pPr>
  </w:style>
  <w:style w:type="paragraph" w:styleId="5">
    <w:name w:val="footer"/>
    <w:basedOn w:val="1"/>
    <w:link w:val="14"/>
    <w:unhideWhenUsed/>
    <w:qFormat/>
    <w:uiPriority w:val="99"/>
    <w:pPr>
      <w:tabs>
        <w:tab w:val="center" w:pos="4153"/>
        <w:tab w:val="right" w:pos="8306"/>
      </w:tabs>
      <w:snapToGrid w:val="0"/>
      <w:jc w:val="left"/>
    </w:pPr>
    <w:rPr>
      <w:rFonts w:ascii="Calibri" w:hAnsi="Calibri" w:eastAsia="宋体" w:cs="Times New Roman"/>
      <w:sz w:val="18"/>
      <w:szCs w:val="18"/>
      <w:lang w:val="zh-CN"/>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lang w:val="zh-CN"/>
    </w:rPr>
  </w:style>
  <w:style w:type="table" w:styleId="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customStyle="1" w:styleId="10">
    <w:name w:val="日期 字符"/>
    <w:basedOn w:val="9"/>
    <w:link w:val="4"/>
    <w:semiHidden/>
    <w:qFormat/>
    <w:uiPriority w:val="99"/>
  </w:style>
  <w:style w:type="character" w:customStyle="1" w:styleId="11">
    <w:name w:val="页眉 字符"/>
    <w:basedOn w:val="9"/>
    <w:semiHidden/>
    <w:qFormat/>
    <w:uiPriority w:val="99"/>
    <w:rPr>
      <w:sz w:val="18"/>
      <w:szCs w:val="18"/>
    </w:rPr>
  </w:style>
  <w:style w:type="character" w:customStyle="1" w:styleId="12">
    <w:name w:val="页眉 字符1"/>
    <w:link w:val="6"/>
    <w:qFormat/>
    <w:uiPriority w:val="99"/>
    <w:rPr>
      <w:rFonts w:ascii="Calibri" w:hAnsi="Calibri" w:eastAsia="宋体" w:cs="Times New Roman"/>
      <w:sz w:val="18"/>
      <w:szCs w:val="18"/>
      <w:lang w:val="zh-CN" w:eastAsia="zh-CN"/>
    </w:rPr>
  </w:style>
  <w:style w:type="character" w:customStyle="1" w:styleId="13">
    <w:name w:val="页脚 字符"/>
    <w:basedOn w:val="9"/>
    <w:semiHidden/>
    <w:qFormat/>
    <w:uiPriority w:val="99"/>
    <w:rPr>
      <w:sz w:val="18"/>
      <w:szCs w:val="18"/>
    </w:rPr>
  </w:style>
  <w:style w:type="character" w:customStyle="1" w:styleId="14">
    <w:name w:val="页脚 字符1"/>
    <w:link w:val="5"/>
    <w:qFormat/>
    <w:uiPriority w:val="99"/>
    <w:rPr>
      <w:rFonts w:ascii="Calibri" w:hAnsi="Calibri" w:eastAsia="宋体" w:cs="Times New Roman"/>
      <w:sz w:val="18"/>
      <w:szCs w:val="18"/>
      <w:lang w:val="zh-CN"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693AF746-068E-459D-A47F-C24573466787}">
  <ds:schemaRefs/>
</ds:datastoreItem>
</file>

<file path=docProps/app.xml><?xml version="1.0" encoding="utf-8"?>
<Properties xmlns="http://schemas.openxmlformats.org/officeDocument/2006/extended-properties" xmlns:vt="http://schemas.openxmlformats.org/officeDocument/2006/docPropsVTypes">
  <Template>Normal</Template>
  <Pages>4</Pages>
  <Words>267</Words>
  <Characters>1526</Characters>
  <Lines>12</Lines>
  <Paragraphs>3</Paragraphs>
  <TotalTime>0</TotalTime>
  <ScaleCrop>false</ScaleCrop>
  <LinksUpToDate>false</LinksUpToDate>
  <CharactersWithSpaces>1790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2024-05-13T19:23:00Z</dcterms:created>
  <dc:creator>孙欣鹏</dc:creator>
  <cp:lastModifiedBy>wang.bihui</cp:lastModifiedBy>
  <dcterms:modified xsi:type="dcterms:W3CDTF">2026-09-29T09:17:24Z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CAEE209BECF8DDA51002886A8DAEC85C</vt:lpwstr>
  </property>
</Properties>
</file>