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简体" w:cs="Times New Roman"/>
          <w:b/>
          <w:bCs w:val="0"/>
          <w:kern w:val="44"/>
          <w:sz w:val="42"/>
          <w:szCs w:val="42"/>
        </w:rPr>
      </w:pPr>
      <w:r>
        <w:rPr>
          <w:rFonts w:ascii="Times New Roman" w:hAnsi="Times New Roman" w:eastAsia="方正仿宋简体" w:cs="Times New Roman"/>
          <w:b/>
          <w:bCs w:val="0"/>
          <w:kern w:val="44"/>
          <w:sz w:val="42"/>
          <w:szCs w:val="42"/>
        </w:rPr>
        <w:t>Appendix 1</w:t>
      </w:r>
    </w:p>
    <w:p>
      <w:pPr>
        <w:jc w:val="left"/>
        <w:rPr>
          <w:rFonts w:ascii="Times New Roman" w:hAnsi="Times New Roman" w:eastAsia="方正仿宋简体" w:cs="Times New Roman"/>
          <w:bCs/>
          <w:kern w:val="44"/>
          <w:sz w:val="42"/>
          <w:szCs w:val="42"/>
        </w:rPr>
      </w:pPr>
    </w:p>
    <w:p>
      <w:pPr>
        <w:jc w:val="center"/>
        <w:rPr>
          <w:rFonts w:ascii="Times New Roman" w:hAnsi="Times New Roman" w:eastAsia="方正仿宋简体" w:cs="Times New Roman"/>
          <w:b/>
          <w:kern w:val="44"/>
          <w:sz w:val="40"/>
          <w:szCs w:val="40"/>
        </w:rPr>
      </w:pPr>
      <w:r>
        <w:rPr>
          <w:rFonts w:ascii="Times New Roman" w:hAnsi="Times New Roman" w:eastAsia="方正仿宋简体" w:cs="Times New Roman"/>
          <w:b/>
          <w:kern w:val="44"/>
          <w:sz w:val="40"/>
          <w:szCs w:val="40"/>
        </w:rPr>
        <w:t>Drafting Explanation</w:t>
      </w:r>
    </w:p>
    <w:p>
      <w:pPr>
        <w:ind w:firstLine="560" w:firstLineChars="200"/>
        <w:jc w:val="both"/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</w:pPr>
    </w:p>
    <w:p>
      <w:pPr>
        <w:ind w:firstLine="560" w:firstLineChars="200"/>
        <w:jc w:val="both"/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Hot-rolled coil and stainless steel are key commodities in China. As one of the widely used basic steel products in the iron and steel industry, hot-rolled coil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>ha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s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good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strength, toughness and formability, supporting the steady development of the manufacturing sector, infrastructure and the industrial chain. As a major specialty steel product, stainless steel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>has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excellent corrosion resistance, physical and processing properties, and is extensively applied in consumption, construction and equipment manufacturing, serving high-quality economic development and consumption upgrading. Shanghai Futures Exchange (hereinafter referred to as "SHFE") launched hot-rolled coil futures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in 2014 and stainless steel futures in 2019. After years of development, the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se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two futures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products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have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reached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a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considerable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market size,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with good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liquidity and a rational investor structure.</w:t>
      </w:r>
    </w:p>
    <w:p>
      <w:pPr>
        <w:ind w:firstLine="560" w:firstLineChars="200"/>
        <w:jc w:val="both"/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In recent years, affected by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multiple factors such as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domestic and overseas raw material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>cos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t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s and geopolitics, steel prices have fluctuated sharply, posing considerable challenges to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real economy. Enterprises’ demand for price stability has grown increasingly, and in particular, their demand for refined and efficient risk management kept rising. The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launch of hot-rolled coil and stainless steel options will enrich risk management tools, enhance the flexibility of risk management for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industrial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enterprises,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and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improve China’s iron and steel derivative product portfolio.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>Therefore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, the SHFE has drafted the Hot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Rolled Coil Options Contract </w:t>
      </w:r>
      <w:r>
        <w:rPr>
          <w:rFonts w:ascii="Times New Roman" w:hAnsi="Times New Roman" w:eastAsia="方正大标宋简体" w:cs="Times New Roman"/>
          <w:sz w:val="28"/>
          <w:szCs w:val="28"/>
        </w:rPr>
        <w:t xml:space="preserve">Specifications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and the Stainless Steel Options Contract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ascii="Times New Roman" w:hAnsi="Times New Roman" w:eastAsia="方正大标宋简体" w:cs="Times New Roman"/>
          <w:sz w:val="28"/>
          <w:szCs w:val="28"/>
        </w:rPr>
        <w:t>Specifications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. The main contents are as follows:</w:t>
      </w:r>
    </w:p>
    <w:p>
      <w:pPr>
        <w:ind w:firstLine="560" w:firstLineChars="200"/>
        <w:jc w:val="both"/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</w:pP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The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Hot-Rolled Coil Options Contract Specifications is based on Hot-Rolled Coil (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>HC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) Futures Contract. </w:t>
      </w:r>
      <w:r>
        <w:rPr>
          <w:rFonts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underlying asset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is Hot-Rolled Coil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futures contract. </w:t>
      </w:r>
      <w:r>
        <w:rPr>
          <w:rFonts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contract size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is 1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HC 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contract. The minimum price fluctuation is 0.5 Yuan/ton.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o</w:t>
      </w:r>
      <w:r>
        <w:rPr>
          <w:rFonts w:ascii="Times New Roman" w:hAnsi="Times New Roman" w:eastAsia="方正仿宋简体" w:cs="Times New Roman"/>
          <w:b/>
          <w:bCs w:val="0"/>
          <w:kern w:val="44"/>
          <w:sz w:val="28"/>
          <w:szCs w:val="28"/>
        </w:rPr>
        <w:t>ption contracts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will be listed for the nearest two consecutive months and, when the open interest of the underlying futures contract after daily clearing reaches a specific threshold separately announced by SHFE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, for later months on the second trading day thereafter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. </w:t>
      </w:r>
      <w:r>
        <w:rPr>
          <w:rFonts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range of strike price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is the previous trading day’s settlement price of the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HC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 contract plus or minus 1.5 times the current day’s price limit. The strike price interval is 20 Yuan/ton if strike price</w:t>
      </w:r>
      <w:r>
        <w:rPr>
          <w:rFonts w:hint="eastAsia" w:ascii="方正仿宋_GBK" w:hAnsi="方正仿宋_GBK" w:eastAsia="方正仿宋_GBK" w:cs="方正仿宋_GBK"/>
          <w:bCs/>
          <w:kern w:val="44"/>
          <w:sz w:val="28"/>
          <w:szCs w:val="28"/>
        </w:rPr>
        <w:t>≤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2000 Yuan/ton; 50 Yuan/ton if 2000 Yuan/ton &lt; strike price</w:t>
      </w:r>
      <w:r>
        <w:rPr>
          <w:rFonts w:hint="eastAsia" w:ascii="方正仿宋_GBK" w:hAnsi="方正仿宋_GBK" w:eastAsia="方正仿宋_GBK" w:cs="方正仿宋_GBK"/>
          <w:bCs/>
          <w:kern w:val="44"/>
          <w:sz w:val="28"/>
          <w:szCs w:val="28"/>
        </w:rPr>
        <w:t>≤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 xml:space="preserve">5000 Yuan/ton; 100 Yuan/ton if strike price &gt; 5000 Yuan/ ton. 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Last Trading Day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and Expiration Date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is five-to-last trading day of the month before the delivery month of the underlying HC contract (subject to adjustment by SHFE in case of a national holiday and other special circumstances).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option style is American style</w:t>
      </w:r>
      <w:r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  <w:t>, buyers may submit an exercise request during trading hours on any trading day before the expiration date.</w:t>
      </w:r>
    </w:p>
    <w:p>
      <w:pPr>
        <w:ind w:firstLine="560" w:firstLineChars="200"/>
        <w:rPr>
          <w:rFonts w:ascii="Times New Roman" w:hAnsi="Times New Roman" w:eastAsia="方正仿宋简体" w:cs="Times New Roman"/>
          <w:bCs/>
          <w:kern w:val="44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The Stainless Steel Options Contract Specifications is based on Stainless Steel (SS) Futures Contract.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underlying asset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is Stainless Steel futures contract. The contract size is 1 SS contract.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minimum price fluctuation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is 1 Yuan/ton.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option contracts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will be listed for the nearest two consecutive months and, when the open interest of the underlying futures contract after daily clearing reaches a specific threshold separately announced by SHFE, for later months on the second trading day thereafter.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range of strike price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is the previous trading day</w:t>
      </w:r>
      <w:r>
        <w:rPr>
          <w:rFonts w:hint="default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>s settlement price of the SS contract plus or minus 1.5 times the current day</w:t>
      </w:r>
      <w:r>
        <w:rPr>
          <w:rFonts w:hint="default" w:ascii="Times New Roman" w:hAnsi="Times New Roman" w:eastAsia="方正仿宋简体" w:cs="Times New Roman"/>
          <w:bCs/>
          <w:kern w:val="44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s price limit. The strike price interval is 100 Yuan/ton if strike price≤10000 Yuan/ton; 200 Yuan/ton if 10000 Yuan/ton &lt; strike price≤20000 Yuan/ton; 500 Yuan/ton if strike price &gt; 20000 Yuan/ ton.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Last Trading Day and Expiration Date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is five-to-last trading day of the month before the delivery month of the underlying SS contract (subject to adjustment by SHFE in case of a national holiday and other special circumstances). </w:t>
      </w:r>
      <w:r>
        <w:rPr>
          <w:rFonts w:hint="eastAsia" w:ascii="Times New Roman" w:hAnsi="Times New Roman" w:eastAsia="方正仿宋简体" w:cs="Times New Roman"/>
          <w:b/>
          <w:bCs w:val="0"/>
          <w:kern w:val="44"/>
          <w:sz w:val="28"/>
          <w:szCs w:val="28"/>
        </w:rPr>
        <w:t>The option style</w:t>
      </w:r>
      <w:r>
        <w:rPr>
          <w:rFonts w:hint="eastAsia" w:ascii="Times New Roman" w:hAnsi="Times New Roman" w:eastAsia="方正仿宋简体" w:cs="Times New Roman"/>
          <w:bCs/>
          <w:kern w:val="44"/>
          <w:sz w:val="28"/>
          <w:szCs w:val="28"/>
        </w:rPr>
        <w:t xml:space="preserve"> is American style, buyers may submit an exercise request during trading hours on any trading day before the expiration date.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DE4A42"/>
    <w:rsid w:val="7BEE1597"/>
    <w:rsid w:val="B7DE4A42"/>
    <w:rsid w:val="EBB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2026-04-30T07:01:00Z</dcterms:created>
  <dc:creator>ji.shuoren</dc:creator>
  <cp:lastModifiedBy>luo.yulian</cp:lastModifiedBy>
  <dcterms:modified xsi:type="dcterms:W3CDTF">2026-04-30T15:25:18Z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C06D66654C3F1682E2ACF1691A6719A2</vt:lpwstr>
  </property>
</Properties>
</file>