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Times New Roman" w:hAnsi="Times New Roman" w:eastAsia="方正大标宋简体" w:cs="Times New Roman"/>
          <w:sz w:val="30"/>
          <w:szCs w:val="30"/>
          <w:lang w:val="en-US" w:eastAsia="zh-CN"/>
        </w:rPr>
      </w:pPr>
      <w:r>
        <w:rPr>
          <w:rFonts w:hint="eastAsia" w:ascii="方正大标宋简体" w:eastAsia="方正大标宋简体"/>
          <w:sz w:val="30"/>
          <w:szCs w:val="30"/>
          <w:lang w:val="en-US" w:eastAsia="zh-CN"/>
        </w:rPr>
        <w:t xml:space="preserve">Annex </w:t>
      </w:r>
      <w:r>
        <w:rPr>
          <w:rFonts w:hint="eastAsia" w:ascii="Times New Roman" w:hAnsi="Times New Roman" w:eastAsia="方正大标宋简体" w:cs="Times New Roman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28"/>
        </w:rPr>
        <w:t>Containerized Freight Index (Europe Service) Futures Contract</w:t>
      </w:r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of the Shanghai International Energy Exchange (Revised)</w:t>
      </w:r>
    </w:p>
    <w:tbl>
      <w:tblPr>
        <w:tblStyle w:val="2"/>
        <w:tblW w:w="89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5"/>
        <w:gridCol w:w="6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Underlying</w:t>
            </w:r>
          </w:p>
        </w:tc>
        <w:tc>
          <w:tcPr>
            <w:tcW w:w="6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Shanghai (export) Containerized Freight Index based on Settled Rates (Europe service)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Contract Multiplier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50 Yuan per index point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Price Quotation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Index point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Minimum Price Fluctuation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5 </w:t>
            </w: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index points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Listed Contracts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color w:val="333333"/>
                <w:kern w:val="0"/>
                <w:sz w:val="24"/>
                <w:lang w:bidi="ar"/>
              </w:rPr>
              <w:t>Monthly contracts of recent six (6) consecutive months (excluding February) followed by two (2) quarterly contracts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Trading Hours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9:00</w:t>
            </w:r>
            <w:r>
              <w:rPr>
                <w:rFonts w:hint="default" w:ascii="MyFontName" w:hAnsi="MyFontName" w:eastAsia="MyFontName" w:cs="MyFontNam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–</w:t>
            </w: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11:30 a.m., 1:30</w:t>
            </w:r>
            <w:r>
              <w:rPr>
                <w:rFonts w:hint="default" w:ascii="MyFontName" w:hAnsi="MyFontName" w:eastAsia="MyFontName" w:cs="MyFontNam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–</w:t>
            </w: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3:00 p.m., and other trading hours prescribed by Shanghai International Energy Exchange (INE)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Daily Price Limit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Within ±10% of the settlement price of the preceding trading day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Minimum Trading Margin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12% of contract 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Last Trading Day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The last futures-trading Monday of the delivery month (INE reserves the right to adjust the last trading day based on national holidays and weekends.)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Delivery Period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Same as the last trading day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Settlement Type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Cash settlement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Product Symbol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EC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6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Listing Exchange</w:t>
            </w:r>
          </w:p>
        </w:tc>
        <w:tc>
          <w:tcPr>
            <w:tcW w:w="62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beforeAutospacing="0" w:after="72" w:afterAutospacing="0" w:line="440" w:lineRule="exact"/>
              <w:ind w:left="0" w:right="0"/>
              <w:jc w:val="left"/>
              <w:textAlignment w:val="auto"/>
              <w:rPr>
                <w:rFonts w:hint="default" w:ascii="MyFontName" w:hAnsi="MyFontName" w:eastAsia="MyFontName" w:cs="MyFontName"/>
                <w:sz w:val="24"/>
                <w:szCs w:val="24"/>
              </w:rPr>
            </w:pPr>
            <w:r>
              <w:rPr>
                <w:rFonts w:hint="default" w:ascii="Times New Roman" w:hAnsi="Times New Roman" w:eastAsia="MyFontName" w:cs="Times New Roman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Shanghai International Energy Exchange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yFontName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5ECABA"/>
    <w:rsid w:val="FD5EC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2025-12-19T15:50:00Z</dcterms:created>
  <dc:creator>ji.shuoren</dc:creator>
  <cp:lastModifiedBy>ji.shuoren</cp:lastModifiedBy>
  <dcterms:modified xsi:type="dcterms:W3CDTF">2025-12-19T15:50:39Z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F43AF5693F150ADEAA034569C63FE9D1</vt:lpwstr>
  </property>
</Properties>
</file>