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0"/>
        </w:rPr>
        <w:t>Appendix 3</w:t>
      </w:r>
    </w:p>
    <w:p>
      <w:pPr>
        <w:jc w:val="left"/>
        <w:rPr>
          <w:rFonts w:ascii="Times New Roman" w:hAnsi="Times New Roman" w:cs="Times New Roman"/>
          <w:b/>
          <w:sz w:val="32"/>
          <w:szCs w:val="30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Bleached Softwood Kraft Pulp Options Contract Specifications</w:t>
      </w:r>
    </w:p>
    <w:p>
      <w:pPr>
        <w:jc w:val="center"/>
        <w:rPr>
          <w:rFonts w:ascii="Times New Roman" w:hAnsi="Times New Roman" w:cs="Times New Roman"/>
          <w:b/>
          <w:sz w:val="36"/>
          <w:szCs w:val="30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83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Underlying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Bleached Softwood Kraft Pulp Futures Contract (10 metric tons)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7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Type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Call option and put option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Size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One Bleached Softwood Kraft Pulp Futures 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Price Quotation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(RMB) Yuan/ton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13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Minimum Price Fluctuation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1 Yuan/ton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24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Daily Price Limit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spacing w:before="260" w:after="260" w:line="360" w:lineRule="auto"/>
              <w:outlineLvl w:val="1"/>
              <w:rPr>
                <w:rFonts w:ascii="Calibri Light" w:hAnsi="Calibri Light" w:eastAsia="宋体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Same as that for the underlying futures 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Listed Contracts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Trading Hours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9:00 a.m. to 11:30 a.m., 1:30 p.m. to 3:00 p.m., and other hours specified by the 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Last Trading Day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The fifth-to-last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Expiration Date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Same as the last trading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Strike Price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方正仿宋简体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</w:rPr>
              <w:t>The range of strike price is the previous trading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>s settlement price of the underlying futures contract plus or minus 1.5 times the current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s price limit. The strike price interval is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0 Yuan/ton if strike price </w:t>
            </w:r>
            <w:r>
              <w:rPr>
                <w:rFonts w:hint="eastAsia" w:ascii="方正仿宋简体" w:hAnsi="Times New Roman" w:eastAsia="方正仿宋简体" w:cs="Times New Roman"/>
                <w:sz w:val="26"/>
                <w:szCs w:val="26"/>
              </w:rPr>
              <w:t>≤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 Yuan/ton; 100 Yuan/ton if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000 Yuan/ton &lt; strike price </w:t>
            </w:r>
            <w:r>
              <w:rPr>
                <w:rFonts w:hint="eastAsia" w:ascii="方正仿宋简体" w:hAnsi="Times New Roman" w:eastAsia="方正仿宋简体" w:cs="Times New Roman"/>
                <w:sz w:val="26"/>
                <w:szCs w:val="26"/>
              </w:rPr>
              <w:t>≤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000 Yuan/ton;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00 Yuan/ton if strike price &gt;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>000 Yuan/ 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Option Style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American style. Buyers may submit an exercise request during trading hours on any trading day before the expiration date and an exercise or abandonment request before 3:30 p.m. on the expiration 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Symbol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Call option: SP-Contract Month-C-Strike Price</w:t>
            </w:r>
          </w:p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Put option: SP-Contract Month-P-Strike Price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7" w:hRule="atLeast"/>
        </w:trPr>
        <w:tc>
          <w:tcPr>
            <w:tcW w:w="126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Listing Exchange</w:t>
            </w:r>
          </w:p>
        </w:tc>
        <w:tc>
          <w:tcPr>
            <w:tcW w:w="373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SHFE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FD029"/>
    <w:rsid w:val="F77BF0FA"/>
    <w:rsid w:val="FF4FD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2025-08-18T17:14:00Z</dcterms:created>
  <dc:creator>ji.shuoren</dc:creator>
  <cp:lastModifiedBy>zheng.zihan</cp:lastModifiedBy>
  <dcterms:modified xsi:type="dcterms:W3CDTF">2025-08-18T15:49:30Z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2394FEB3B10A4D720ADBA268736544E6</vt:lpwstr>
  </property>
</Properties>
</file>