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49" w:rsidRDefault="00B70449" w:rsidP="00B70449">
      <w:pPr>
        <w:widowControl/>
        <w:adjustRightInd w:val="0"/>
        <w:snapToGrid w:val="0"/>
        <w:spacing w:afterLines="100" w:after="312" w:line="276" w:lineRule="auto"/>
        <w:rPr>
          <w:rFonts w:eastAsia="华文中宋"/>
          <w:b/>
          <w:sz w:val="22"/>
          <w:szCs w:val="22"/>
        </w:rPr>
      </w:pPr>
      <w:r>
        <w:rPr>
          <w:rFonts w:eastAsia="华文中宋"/>
          <w:b/>
          <w:sz w:val="22"/>
          <w:szCs w:val="22"/>
        </w:rPr>
        <w:t xml:space="preserve">Appendix </w:t>
      </w:r>
      <w:r>
        <w:rPr>
          <w:rFonts w:eastAsia="华文中宋" w:hint="eastAsia"/>
          <w:b/>
          <w:sz w:val="22"/>
          <w:szCs w:val="22"/>
        </w:rPr>
        <w:t>2</w:t>
      </w:r>
      <w:r w:rsidR="002A5A2A">
        <w:rPr>
          <w:rFonts w:eastAsia="华文中宋"/>
          <w:b/>
          <w:sz w:val="22"/>
          <w:szCs w:val="22"/>
        </w:rPr>
        <w:t>6:</w:t>
      </w:r>
    </w:p>
    <w:p w:rsidR="002A5A2A" w:rsidRPr="002C5301" w:rsidRDefault="00B70449" w:rsidP="002A5A2A">
      <w:pPr>
        <w:widowControl/>
        <w:adjustRightInd w:val="0"/>
        <w:snapToGrid w:val="0"/>
        <w:spacing w:afterLines="100" w:after="312" w:line="276" w:lineRule="auto"/>
        <w:jc w:val="center"/>
        <w:rPr>
          <w:rFonts w:eastAsia="华文中宋"/>
          <w:b/>
          <w:sz w:val="22"/>
          <w:szCs w:val="22"/>
        </w:rPr>
      </w:pPr>
      <w:r w:rsidRPr="002C5301">
        <w:rPr>
          <w:rFonts w:eastAsia="华文中宋"/>
          <w:b/>
          <w:sz w:val="22"/>
          <w:szCs w:val="22"/>
        </w:rPr>
        <w:t>WIRE ROD FUTURES RULES OF THE SHANGHAI FUTURES EXCHANGE</w:t>
      </w:r>
    </w:p>
    <w:p w:rsidR="00B70449" w:rsidRPr="002A5A2A" w:rsidRDefault="002A5A2A" w:rsidP="002A5A2A">
      <w:pPr>
        <w:widowControl/>
        <w:adjustRightInd w:val="0"/>
        <w:snapToGrid w:val="0"/>
        <w:spacing w:afterLines="100" w:after="312" w:line="276" w:lineRule="auto"/>
        <w:jc w:val="center"/>
        <w:rPr>
          <w:rFonts w:eastAsia="华文中宋"/>
          <w:b/>
          <w:sz w:val="22"/>
          <w:szCs w:val="22"/>
        </w:rPr>
      </w:pPr>
      <w:r w:rsidRPr="00566DC9">
        <w:rPr>
          <w:rFonts w:hAnsi="Calibri"/>
          <w:b/>
          <w:spacing w:val="-1"/>
          <w:kern w:val="0"/>
          <w:sz w:val="22"/>
          <w:szCs w:val="22"/>
          <w:lang w:eastAsia="en-US"/>
        </w:rPr>
        <w:t>(</w:t>
      </w:r>
      <w:proofErr w:type="gramStart"/>
      <w:r w:rsidRPr="00566DC9">
        <w:rPr>
          <w:rFonts w:hAnsi="Calibri"/>
          <w:b/>
          <w:spacing w:val="-1"/>
          <w:kern w:val="0"/>
          <w:sz w:val="22"/>
          <w:szCs w:val="22"/>
          <w:lang w:eastAsia="en-US"/>
        </w:rPr>
        <w:t>revised</w:t>
      </w:r>
      <w:proofErr w:type="gramEnd"/>
      <w:r w:rsidRPr="00566DC9">
        <w:rPr>
          <w:rFonts w:hAnsi="Calibri"/>
          <w:b/>
          <w:spacing w:val="-1"/>
          <w:kern w:val="0"/>
          <w:sz w:val="22"/>
          <w:szCs w:val="22"/>
          <w:lang w:eastAsia="en-US"/>
        </w:rPr>
        <w:t>)</w:t>
      </w:r>
    </w:p>
    <w:p w:rsidR="00B70449" w:rsidRDefault="00B70449" w:rsidP="00B70449">
      <w:pPr>
        <w:widowControl/>
        <w:tabs>
          <w:tab w:val="left" w:pos="1560"/>
        </w:tabs>
        <w:adjustRightInd w:val="0"/>
        <w:snapToGrid w:val="0"/>
        <w:spacing w:beforeLines="150" w:before="468" w:afterLines="100" w:after="312" w:line="259" w:lineRule="auto"/>
        <w:jc w:val="center"/>
        <w:rPr>
          <w:b/>
          <w:sz w:val="22"/>
          <w:szCs w:val="22"/>
        </w:rPr>
      </w:pPr>
      <w:r>
        <w:rPr>
          <w:b/>
          <w:sz w:val="22"/>
          <w:szCs w:val="22"/>
        </w:rPr>
        <w:t>CHAPTER 1</w:t>
      </w:r>
      <w:r>
        <w:rPr>
          <w:b/>
          <w:sz w:val="22"/>
          <w:szCs w:val="22"/>
        </w:rPr>
        <w:tab/>
        <w:t>GENERAL PROVISIONS</w:t>
      </w:r>
    </w:p>
    <w:p w:rsidR="00B70449" w:rsidRDefault="00B70449" w:rsidP="00B70449">
      <w:pPr>
        <w:tabs>
          <w:tab w:val="left" w:pos="1204"/>
        </w:tabs>
        <w:adjustRightInd w:val="0"/>
        <w:snapToGrid w:val="0"/>
        <w:spacing w:afterLines="100" w:after="312" w:line="259" w:lineRule="auto"/>
        <w:jc w:val="left"/>
        <w:rPr>
          <w:sz w:val="22"/>
          <w:szCs w:val="22"/>
        </w:rPr>
      </w:pPr>
      <w:bookmarkStart w:id="0" w:name="_Hlk501444119"/>
      <w:r>
        <w:rPr>
          <w:b/>
          <w:bCs/>
          <w:sz w:val="22"/>
          <w:szCs w:val="22"/>
        </w:rPr>
        <w:t>Article 1</w:t>
      </w:r>
      <w:r>
        <w:rPr>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Wire </w:t>
      </w:r>
      <w:r>
        <w:rPr>
          <w:rFonts w:hint="eastAsia"/>
          <w:i/>
          <w:iCs/>
          <w:sz w:val="22"/>
          <w:szCs w:val="22"/>
        </w:rPr>
        <w:t>R</w:t>
      </w:r>
      <w:r>
        <w:rPr>
          <w:i/>
          <w:iCs/>
          <w:sz w:val="22"/>
          <w:szCs w:val="22"/>
        </w:rPr>
        <w:t xml:space="preserve">od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wire rod</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0"/>
    <w:p w:rsidR="00B70449" w:rsidRDefault="00B70449" w:rsidP="00B70449">
      <w:pPr>
        <w:tabs>
          <w:tab w:val="left" w:pos="1204"/>
        </w:tabs>
        <w:adjustRightInd w:val="0"/>
        <w:snapToGrid w:val="0"/>
        <w:spacing w:afterLines="100" w:after="312" w:line="259" w:lineRule="auto"/>
        <w:jc w:val="left"/>
        <w:rPr>
          <w:color w:val="000000"/>
          <w:kern w:val="0"/>
          <w:sz w:val="22"/>
          <w:szCs w:val="22"/>
        </w:rPr>
      </w:pPr>
      <w:r>
        <w:rPr>
          <w:b/>
          <w:bCs/>
          <w:color w:val="000000"/>
          <w:sz w:val="22"/>
          <w:szCs w:val="22"/>
        </w:rPr>
        <w:t>Article 2</w:t>
      </w:r>
      <w:r>
        <w:rPr>
          <w:color w:val="000000"/>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rsidR="00B70449" w:rsidRDefault="00B70449" w:rsidP="00B70449">
      <w:pPr>
        <w:widowControl/>
        <w:tabs>
          <w:tab w:val="left" w:pos="1560"/>
        </w:tabs>
        <w:adjustRightInd w:val="0"/>
        <w:snapToGrid w:val="0"/>
        <w:spacing w:beforeLines="150" w:before="468" w:afterLines="100" w:after="312" w:line="259" w:lineRule="auto"/>
        <w:jc w:val="center"/>
        <w:rPr>
          <w:b/>
          <w:sz w:val="22"/>
          <w:szCs w:val="22"/>
        </w:rPr>
      </w:pPr>
      <w:bookmarkStart w:id="1"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1"/>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wire rod </w:t>
      </w:r>
      <w:r>
        <w:rPr>
          <w:rFonts w:hint="eastAsia"/>
          <w:sz w:val="22"/>
          <w:szCs w:val="22"/>
        </w:rPr>
        <w:t>futures</w:t>
      </w:r>
      <w:r>
        <w:rPr>
          <w:sz w:val="22"/>
          <w:szCs w:val="22"/>
        </w:rPr>
        <w:t xml:space="preserve"> is </w:t>
      </w:r>
      <w:r>
        <w:rPr>
          <w:rFonts w:hint="eastAsia"/>
          <w:sz w:val="22"/>
          <w:szCs w:val="22"/>
        </w:rPr>
        <w:t>ten (10)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rsidR="00B70449" w:rsidRDefault="00B70449" w:rsidP="00B70449">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wire rod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wire rod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wire rod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wire rod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a</w:t>
      </w:r>
      <w:r>
        <w:rPr>
          <w:rFonts w:hint="eastAsia"/>
          <w:sz w:val="22"/>
          <w:szCs w:val="22"/>
        </w:rPr>
        <w:t xml:space="preserve"> </w:t>
      </w:r>
      <w:r>
        <w:rPr>
          <w:sz w:val="22"/>
          <w:szCs w:val="22"/>
        </w:rPr>
        <w:t xml:space="preserve">wire rod </w:t>
      </w:r>
      <w:r>
        <w:rPr>
          <w:rFonts w:hint="eastAsia"/>
          <w:sz w:val="22"/>
          <w:szCs w:val="22"/>
        </w:rPr>
        <w:t>futures</w:t>
      </w:r>
      <w:r>
        <w:rPr>
          <w:sz w:val="22"/>
          <w:szCs w:val="22"/>
        </w:rPr>
        <w:t xml:space="preserve"> contract</w:t>
      </w:r>
      <w:r>
        <w:rPr>
          <w:rFonts w:hint="eastAsia"/>
          <w:sz w:val="22"/>
          <w:szCs w:val="22"/>
        </w:rPr>
        <w:t xml:space="preserve"> is the 15th day of the contract month (postponed accordingly if it is a legal holiday in </w:t>
      </w:r>
      <w:r>
        <w:rPr>
          <w:sz w:val="22"/>
          <w:szCs w:val="22"/>
        </w:rPr>
        <w:t>China</w:t>
      </w:r>
      <w:r>
        <w:rPr>
          <w:rFonts w:hint="eastAsia"/>
          <w:sz w:val="22"/>
          <w:szCs w:val="22"/>
        </w:rPr>
        <w:t xml:space="preserve"> and subject to separate adjustment and announcement by the Exchange if it falls in the Spring Festival month or any other month specially designated by the Exchange).</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wire rod </w:t>
      </w:r>
      <w:r>
        <w:rPr>
          <w:rFonts w:hint="eastAsia"/>
          <w:sz w:val="22"/>
          <w:szCs w:val="22"/>
        </w:rPr>
        <w:t>futures is WR.</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position quota</w:t>
      </w:r>
      <w:r>
        <w:rPr>
          <w:rFonts w:hint="eastAsia"/>
          <w:sz w:val="22"/>
          <w:szCs w:val="22"/>
        </w:rPr>
        <w:t xml:space="preserve">s of </w:t>
      </w:r>
      <w:r>
        <w:rPr>
          <w:sz w:val="22"/>
          <w:szCs w:val="22"/>
        </w:rPr>
        <w:t>a</w:t>
      </w:r>
      <w:r>
        <w:rPr>
          <w:rFonts w:hint="eastAsia"/>
          <w:sz w:val="22"/>
          <w:szCs w:val="22"/>
        </w:rPr>
        <w:t xml:space="preserve"> </w:t>
      </w:r>
      <w:r>
        <w:rPr>
          <w:sz w:val="22"/>
          <w:szCs w:val="22"/>
        </w:rPr>
        <w:t>wire rod</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position quota of a wire rod futures contract shall be submitted by the last trading day of the second month before the delivery month of the contract. Late applications will not be accepted by the Exchange.</w:t>
      </w:r>
    </w:p>
    <w:p w:rsidR="00B70449" w:rsidRDefault="00B70449" w:rsidP="00B70449">
      <w:pPr>
        <w:tabs>
          <w:tab w:val="left" w:pos="1204"/>
        </w:tabs>
        <w:adjustRightInd w:val="0"/>
        <w:snapToGrid w:val="0"/>
        <w:spacing w:afterLines="100" w:after="312" w:line="259" w:lineRule="auto"/>
        <w:jc w:val="left"/>
        <w:rPr>
          <w:sz w:val="22"/>
          <w:szCs w:val="22"/>
        </w:rPr>
      </w:pPr>
      <w:r>
        <w:rPr>
          <w:sz w:val="22"/>
          <w:szCs w:val="22"/>
        </w:rPr>
        <w:lastRenderedPageBreak/>
        <w:t>An application for a nearby delivery month hedging position quota of a wire rod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 wire rod futures contract shall be submitted between the first trading day of the second month before the delivery month of the contract and the last trading day of the month before the delivery month. Late applications will not be accepted by the Exchange.</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position quota of a </w:t>
      </w:r>
      <w:r>
        <w:rPr>
          <w:rFonts w:hint="eastAsia"/>
          <w:sz w:val="22"/>
          <w:szCs w:val="22"/>
        </w:rPr>
        <w:t>wire rod</w:t>
      </w:r>
      <w:r>
        <w:rPr>
          <w:sz w:val="22"/>
          <w:szCs w:val="22"/>
        </w:rPr>
        <w:t xml:space="preserve"> futures contract shall no longer be used in a revolving manner starting from the first trading day of the delivery month.</w:t>
      </w:r>
    </w:p>
    <w:p w:rsidR="00B70449" w:rsidRDefault="00B70449" w:rsidP="00B70449">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rsidR="00B70449" w:rsidRDefault="00B70449" w:rsidP="00B70449">
      <w:pPr>
        <w:widowControl/>
        <w:tabs>
          <w:tab w:val="left" w:pos="1560"/>
        </w:tabs>
        <w:adjustRightInd w:val="0"/>
        <w:snapToGrid w:val="0"/>
        <w:spacing w:beforeLines="150" w:before="468" w:afterLines="100" w:after="312" w:line="259" w:lineRule="auto"/>
        <w:jc w:val="center"/>
        <w:rPr>
          <w:b/>
          <w:sz w:val="22"/>
          <w:szCs w:val="22"/>
        </w:rPr>
      </w:pPr>
      <w:r>
        <w:rPr>
          <w:rFonts w:hint="eastAsia"/>
          <w:b/>
          <w:sz w:val="22"/>
          <w:szCs w:val="22"/>
        </w:rPr>
        <w:t>SECTION 1 GENERAL PROVISIONS</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wire rod futures contract </w:t>
      </w:r>
      <w:r>
        <w:rPr>
          <w:sz w:val="22"/>
          <w:szCs w:val="22"/>
        </w:rPr>
        <w:t>may be physically delivered through an Exchange of Futures for Physicals (“EFP”)</w:t>
      </w:r>
      <w:r>
        <w:rPr>
          <w:rFonts w:hint="eastAsia"/>
          <w:sz w:val="22"/>
          <w:szCs w:val="22"/>
        </w:rPr>
        <w:t>, a delivery warehouse, or a delivery factory.</w:t>
      </w:r>
    </w:p>
    <w:p w:rsidR="00B70449" w:rsidRDefault="00B70449" w:rsidP="00B70449">
      <w:pPr>
        <w:tabs>
          <w:tab w:val="left" w:pos="1204"/>
        </w:tabs>
        <w:adjustRightInd w:val="0"/>
        <w:snapToGrid w:val="0"/>
        <w:spacing w:afterLines="100" w:after="312" w:line="259" w:lineRule="auto"/>
        <w:jc w:val="left"/>
        <w:rPr>
          <w:sz w:val="22"/>
          <w:szCs w:val="22"/>
        </w:rPr>
      </w:pPr>
      <w:r>
        <w:rPr>
          <w:sz w:val="22"/>
          <w:szCs w:val="22"/>
        </w:rPr>
        <w:t>W</w:t>
      </w:r>
      <w:r>
        <w:rPr>
          <w:rFonts w:hint="eastAsia"/>
          <w:sz w:val="22"/>
          <w:szCs w:val="22"/>
        </w:rPr>
        <w:t>ire rod</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Wire </w:t>
      </w:r>
      <w:r>
        <w:rPr>
          <w:rFonts w:hint="eastAsia"/>
          <w:i/>
          <w:iCs/>
          <w:sz w:val="22"/>
          <w:szCs w:val="22"/>
        </w:rPr>
        <w:t>R</w:t>
      </w:r>
      <w:r>
        <w:rPr>
          <w:i/>
          <w:iCs/>
          <w:sz w:val="22"/>
          <w:szCs w:val="22"/>
        </w:rPr>
        <w:t>od Futures Contract</w:t>
      </w:r>
      <w:r>
        <w:rPr>
          <w:rFonts w:hint="eastAsia"/>
          <w:i/>
          <w:iCs/>
          <w:sz w:val="22"/>
          <w:szCs w:val="22"/>
        </w:rPr>
        <w:t xml:space="preserve"> Specifications</w:t>
      </w:r>
      <w:r>
        <w:rPr>
          <w:sz w:val="22"/>
          <w:szCs w:val="22"/>
        </w:rPr>
        <w:t xml:space="preserve">. </w:t>
      </w:r>
    </w:p>
    <w:p w:rsidR="00B70449" w:rsidRDefault="00B70449" w:rsidP="00B70449">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15</w:t>
      </w:r>
      <w:r>
        <w:rPr>
          <w:sz w:val="22"/>
        </w:rPr>
        <w:tab/>
        <w:t xml:space="preserve">Quality specifications </w:t>
      </w:r>
    </w:p>
    <w:p w:rsidR="00B70449" w:rsidRDefault="00B70449" w:rsidP="00B70449">
      <w:pPr>
        <w:adjustRightInd w:val="0"/>
        <w:snapToGrid w:val="0"/>
        <w:spacing w:afterLines="100" w:after="312" w:line="259" w:lineRule="auto"/>
        <w:jc w:val="left"/>
        <w:rPr>
          <w:sz w:val="22"/>
        </w:rPr>
      </w:pPr>
      <w:r>
        <w:rPr>
          <w:sz w:val="22"/>
        </w:rPr>
        <w:t xml:space="preserve">The deliverable </w:t>
      </w:r>
      <w:r>
        <w:rPr>
          <w:rFonts w:hint="eastAsia"/>
          <w:sz w:val="22"/>
        </w:rPr>
        <w:t>wire rods</w:t>
      </w:r>
      <w:r>
        <w:rPr>
          <w:sz w:val="22"/>
        </w:rPr>
        <w:t xml:space="preserve"> shall be registered </w:t>
      </w:r>
      <w:r>
        <w:rPr>
          <w:rFonts w:hint="eastAsia"/>
          <w:sz w:val="22"/>
        </w:rPr>
        <w:t>commodities</w:t>
      </w:r>
      <w:r>
        <w:rPr>
          <w:sz w:val="22"/>
        </w:rPr>
        <w:t xml:space="preserve"> from a manufacturer registered with </w:t>
      </w:r>
      <w:r>
        <w:rPr>
          <w:rFonts w:hint="eastAsia"/>
          <w:sz w:val="22"/>
        </w:rPr>
        <w:t xml:space="preserve">the </w:t>
      </w:r>
      <w:r>
        <w:rPr>
          <w:sz w:val="22"/>
        </w:rPr>
        <w:t>Exchange.</w:t>
      </w:r>
      <w:r>
        <w:rPr>
          <w:rFonts w:hint="eastAsia"/>
          <w:sz w:val="22"/>
        </w:rPr>
        <w:t xml:space="preserve"> </w:t>
      </w:r>
      <w:r>
        <w:rPr>
          <w:sz w:val="22"/>
        </w:rPr>
        <w:t>The shape, dimension, weight</w:t>
      </w:r>
      <w:r>
        <w:rPr>
          <w:rFonts w:hint="eastAsia"/>
          <w:sz w:val="22"/>
        </w:rPr>
        <w:t>,</w:t>
      </w:r>
      <w:r>
        <w:rPr>
          <w:sz w:val="22"/>
        </w:rPr>
        <w:t xml:space="preserve"> and tolerance of deliver</w:t>
      </w:r>
      <w:r>
        <w:rPr>
          <w:rFonts w:hint="eastAsia"/>
          <w:sz w:val="22"/>
        </w:rPr>
        <w:t>able</w:t>
      </w:r>
      <w:r>
        <w:rPr>
          <w:sz w:val="22"/>
        </w:rPr>
        <w:t xml:space="preserve"> wire rods shall conform to</w:t>
      </w:r>
      <w:r>
        <w:rPr>
          <w:iCs/>
          <w:sz w:val="22"/>
        </w:rPr>
        <w:t xml:space="preserve"> the specifications of National Standard GB 1499.1-20</w:t>
      </w:r>
      <w:r>
        <w:rPr>
          <w:rFonts w:hint="eastAsia"/>
          <w:iCs/>
          <w:sz w:val="22"/>
        </w:rPr>
        <w:t>24</w:t>
      </w:r>
      <w:r>
        <w:rPr>
          <w:iCs/>
          <w:sz w:val="22"/>
        </w:rPr>
        <w:t xml:space="preserve">: </w:t>
      </w:r>
      <w:r>
        <w:rPr>
          <w:i/>
          <w:sz w:val="22"/>
        </w:rPr>
        <w:t>Steel for Reinforced Concrete, Part 1: Hot</w:t>
      </w:r>
      <w:r>
        <w:rPr>
          <w:rFonts w:hint="eastAsia"/>
          <w:i/>
          <w:sz w:val="22"/>
        </w:rPr>
        <w:t>-</w:t>
      </w:r>
      <w:r>
        <w:rPr>
          <w:i/>
          <w:sz w:val="22"/>
        </w:rPr>
        <w:t>Rolled Plain Bars</w:t>
      </w:r>
      <w:r>
        <w:rPr>
          <w:sz w:val="22"/>
        </w:rPr>
        <w:t>.</w:t>
      </w:r>
    </w:p>
    <w:p w:rsidR="00B70449" w:rsidRDefault="00B70449" w:rsidP="00B70449">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16</w:t>
      </w:r>
      <w:r>
        <w:rPr>
          <w:sz w:val="22"/>
        </w:rPr>
        <w:tab/>
        <w:t xml:space="preserve">Packaging </w:t>
      </w:r>
    </w:p>
    <w:p w:rsidR="00B70449" w:rsidRDefault="00B70449" w:rsidP="00B70449">
      <w:pPr>
        <w:adjustRightInd w:val="0"/>
        <w:snapToGrid w:val="0"/>
        <w:spacing w:afterLines="100" w:after="312" w:line="259" w:lineRule="auto"/>
        <w:jc w:val="left"/>
        <w:rPr>
          <w:sz w:val="22"/>
        </w:rPr>
      </w:pPr>
      <w:r>
        <w:rPr>
          <w:rFonts w:hint="eastAsia"/>
          <w:sz w:val="22"/>
        </w:rPr>
        <w:t>W</w:t>
      </w:r>
      <w:r>
        <w:rPr>
          <w:sz w:val="22"/>
        </w:rPr>
        <w:t xml:space="preserve">ire rods </w:t>
      </w:r>
      <w:r>
        <w:rPr>
          <w:rFonts w:hint="eastAsia"/>
          <w:sz w:val="22"/>
        </w:rPr>
        <w:t>shall be delivered in coils and t</w:t>
      </w:r>
      <w:r>
        <w:rPr>
          <w:sz w:val="22"/>
        </w:rPr>
        <w:t>he</w:t>
      </w:r>
      <w:r>
        <w:rPr>
          <w:rFonts w:hint="eastAsia"/>
          <w:sz w:val="22"/>
        </w:rPr>
        <w:t>ir</w:t>
      </w:r>
      <w:r>
        <w:rPr>
          <w:sz w:val="22"/>
        </w:rPr>
        <w:t xml:space="preserve"> packaging, mark, and certificate of quality shall conform to the</w:t>
      </w:r>
      <w:r>
        <w:rPr>
          <w:iCs/>
          <w:sz w:val="22"/>
        </w:rPr>
        <w:t xml:space="preserve"> specifications of National Standard GB 1499.1-20</w:t>
      </w:r>
      <w:r>
        <w:rPr>
          <w:rFonts w:hint="eastAsia"/>
          <w:iCs/>
          <w:sz w:val="22"/>
        </w:rPr>
        <w:t>24</w:t>
      </w:r>
      <w:r>
        <w:rPr>
          <w:iCs/>
          <w:sz w:val="22"/>
        </w:rPr>
        <w:t>:</w:t>
      </w:r>
      <w:r>
        <w:rPr>
          <w:i/>
          <w:sz w:val="22"/>
        </w:rPr>
        <w:t xml:space="preserve"> Steel for Reinforced Concrete, Part</w:t>
      </w:r>
      <w:r>
        <w:rPr>
          <w:rFonts w:hint="eastAsia"/>
          <w:i/>
          <w:sz w:val="22"/>
        </w:rPr>
        <w:t xml:space="preserve"> </w:t>
      </w:r>
      <w:r>
        <w:rPr>
          <w:i/>
          <w:sz w:val="22"/>
        </w:rPr>
        <w:t>1: Hot</w:t>
      </w:r>
      <w:r>
        <w:rPr>
          <w:rFonts w:hint="eastAsia"/>
          <w:i/>
          <w:sz w:val="22"/>
        </w:rPr>
        <w:t>-</w:t>
      </w:r>
      <w:r>
        <w:rPr>
          <w:i/>
          <w:sz w:val="22"/>
        </w:rPr>
        <w:t>Rolled Plain Bars</w:t>
      </w:r>
      <w:r>
        <w:rPr>
          <w:sz w:val="22"/>
        </w:rPr>
        <w:t>.</w:t>
      </w:r>
    </w:p>
    <w:p w:rsidR="00B70449" w:rsidRDefault="00B70449" w:rsidP="00B70449">
      <w:pPr>
        <w:adjustRightInd w:val="0"/>
        <w:snapToGrid w:val="0"/>
        <w:spacing w:afterLines="100" w:after="312" w:line="259" w:lineRule="auto"/>
        <w:jc w:val="left"/>
        <w:rPr>
          <w:sz w:val="22"/>
        </w:rPr>
      </w:pPr>
      <w:r>
        <w:rPr>
          <w:sz w:val="22"/>
        </w:rPr>
        <w:t xml:space="preserve">Wire rods underlying each </w:t>
      </w:r>
      <w:r>
        <w:rPr>
          <w:rFonts w:hint="eastAsia"/>
          <w:sz w:val="22"/>
        </w:rPr>
        <w:t xml:space="preserve">standard </w:t>
      </w:r>
      <w:r>
        <w:rPr>
          <w:sz w:val="22"/>
        </w:rPr>
        <w:t xml:space="preserve">warrant shall consist of commodity of the same manufacturer, </w:t>
      </w:r>
      <w:r>
        <w:rPr>
          <w:rFonts w:hint="eastAsia"/>
          <w:sz w:val="22"/>
        </w:rPr>
        <w:t>grade (</w:t>
      </w:r>
      <w:r>
        <w:rPr>
          <w:sz w:val="22"/>
        </w:rPr>
        <w:t>designation</w:t>
      </w:r>
      <w:r>
        <w:rPr>
          <w:rFonts w:hint="eastAsia"/>
          <w:sz w:val="22"/>
        </w:rPr>
        <w:t>)</w:t>
      </w:r>
      <w:r>
        <w:rPr>
          <w:sz w:val="22"/>
        </w:rPr>
        <w:t>, registered trademark, and nominal diameter, and have</w:t>
      </w:r>
      <w:r>
        <w:rPr>
          <w:rFonts w:hint="eastAsia"/>
          <w:sz w:val="22"/>
        </w:rPr>
        <w:t xml:space="preserve"> their </w:t>
      </w:r>
      <w:r>
        <w:rPr>
          <w:sz w:val="22"/>
        </w:rPr>
        <w:t>date</w:t>
      </w:r>
      <w:r>
        <w:rPr>
          <w:rFonts w:hint="eastAsia"/>
          <w:sz w:val="22"/>
        </w:rPr>
        <w:t>s</w:t>
      </w:r>
      <w:r>
        <w:rPr>
          <w:sz w:val="22"/>
        </w:rPr>
        <w:t xml:space="preserve"> of </w:t>
      </w:r>
      <w:r>
        <w:rPr>
          <w:rFonts w:hint="eastAsia"/>
          <w:sz w:val="22"/>
        </w:rPr>
        <w:t>production</w:t>
      </w:r>
      <w:r>
        <w:rPr>
          <w:sz w:val="22"/>
        </w:rPr>
        <w:t xml:space="preserve"> variance </w:t>
      </w:r>
      <w:r>
        <w:rPr>
          <w:rFonts w:hint="eastAsia"/>
          <w:sz w:val="22"/>
        </w:rPr>
        <w:t xml:space="preserve">spanning </w:t>
      </w:r>
      <w:r>
        <w:rPr>
          <w:sz w:val="22"/>
        </w:rPr>
        <w:t>no more than ten</w:t>
      </w:r>
      <w:r>
        <w:rPr>
          <w:rFonts w:hint="eastAsia"/>
          <w:sz w:val="22"/>
        </w:rPr>
        <w:t xml:space="preserve"> (10)</w:t>
      </w:r>
      <w:r>
        <w:rPr>
          <w:sz w:val="22"/>
        </w:rPr>
        <w:t xml:space="preserve"> consecutive days. The earliest of such dates shall be taken as the date of </w:t>
      </w:r>
      <w:r>
        <w:rPr>
          <w:rFonts w:hint="eastAsia"/>
          <w:sz w:val="22"/>
        </w:rPr>
        <w:t>production</w:t>
      </w:r>
      <w:r>
        <w:rPr>
          <w:sz w:val="22"/>
        </w:rPr>
        <w:t xml:space="preserve"> on the </w:t>
      </w:r>
      <w:r>
        <w:rPr>
          <w:rFonts w:hint="eastAsia"/>
          <w:sz w:val="22"/>
        </w:rPr>
        <w:t xml:space="preserve">standard </w:t>
      </w:r>
      <w:r>
        <w:rPr>
          <w:sz w:val="22"/>
        </w:rPr>
        <w:t>warrant.</w:t>
      </w:r>
    </w:p>
    <w:p w:rsidR="00B70449" w:rsidRDefault="00B70449" w:rsidP="00B70449">
      <w:pPr>
        <w:adjustRightInd w:val="0"/>
        <w:snapToGrid w:val="0"/>
        <w:spacing w:afterLines="100" w:after="312" w:line="259" w:lineRule="auto"/>
        <w:jc w:val="left"/>
        <w:rPr>
          <w:sz w:val="22"/>
        </w:rPr>
      </w:pPr>
      <w:r>
        <w:rPr>
          <w:b/>
          <w:bCs/>
          <w:sz w:val="22"/>
        </w:rPr>
        <w:t xml:space="preserve">Article </w:t>
      </w:r>
      <w:r>
        <w:rPr>
          <w:rFonts w:hint="eastAsia"/>
          <w:b/>
          <w:bCs/>
          <w:sz w:val="22"/>
        </w:rPr>
        <w:t>17</w:t>
      </w:r>
      <w:r>
        <w:rPr>
          <w:sz w:val="22"/>
        </w:rPr>
        <w:tab/>
        <w:t xml:space="preserve">Required documentation for deliverable </w:t>
      </w:r>
      <w:r>
        <w:rPr>
          <w:rFonts w:hint="eastAsia"/>
          <w:sz w:val="22"/>
        </w:rPr>
        <w:t>commodities</w:t>
      </w:r>
    </w:p>
    <w:p w:rsidR="00B70449" w:rsidRDefault="00B70449" w:rsidP="00B70449">
      <w:pPr>
        <w:adjustRightInd w:val="0"/>
        <w:snapToGrid w:val="0"/>
        <w:spacing w:afterLines="100" w:after="312" w:line="259" w:lineRule="auto"/>
        <w:jc w:val="left"/>
        <w:rPr>
          <w:sz w:val="22"/>
        </w:rPr>
      </w:pPr>
      <w:r>
        <w:rPr>
          <w:sz w:val="22"/>
        </w:rPr>
        <w:t xml:space="preserve">The certificate of quality issued by the registered manufacturer shall be provided. </w:t>
      </w:r>
    </w:p>
    <w:p w:rsidR="00B70449" w:rsidRDefault="00B70449" w:rsidP="00B70449">
      <w:pPr>
        <w:tabs>
          <w:tab w:val="left" w:pos="1204"/>
        </w:tabs>
        <w:adjustRightInd w:val="0"/>
        <w:snapToGrid w:val="0"/>
        <w:spacing w:afterLines="100" w:after="312" w:line="259" w:lineRule="auto"/>
        <w:jc w:val="left"/>
        <w:rPr>
          <w:sz w:val="22"/>
        </w:rPr>
      </w:pPr>
      <w:r>
        <w:rPr>
          <w:b/>
          <w:bCs/>
          <w:sz w:val="22"/>
        </w:rPr>
        <w:t xml:space="preserve">Article </w:t>
      </w:r>
      <w:r>
        <w:rPr>
          <w:rFonts w:hint="eastAsia"/>
          <w:b/>
          <w:bCs/>
          <w:sz w:val="22"/>
        </w:rPr>
        <w:t>18</w:t>
      </w:r>
      <w:r>
        <w:rPr>
          <w:sz w:val="22"/>
        </w:rPr>
        <w:tab/>
        <w:t xml:space="preserve">Tolerance </w:t>
      </w:r>
      <w:r>
        <w:rPr>
          <w:rFonts w:hint="eastAsia"/>
          <w:sz w:val="22"/>
        </w:rPr>
        <w:t>and</w:t>
      </w:r>
      <w:r>
        <w:rPr>
          <w:sz w:val="22"/>
        </w:rPr>
        <w:t xml:space="preserve"> pound difference</w:t>
      </w:r>
    </w:p>
    <w:p w:rsidR="00B70449" w:rsidRDefault="00B70449" w:rsidP="00B70449">
      <w:pPr>
        <w:adjustRightInd w:val="0"/>
        <w:snapToGrid w:val="0"/>
        <w:spacing w:afterLines="100" w:after="312" w:line="259" w:lineRule="auto"/>
        <w:jc w:val="left"/>
        <w:rPr>
          <w:sz w:val="22"/>
        </w:rPr>
      </w:pPr>
      <w:r>
        <w:rPr>
          <w:sz w:val="22"/>
        </w:rPr>
        <w:lastRenderedPageBreak/>
        <w:t xml:space="preserve">The </w:t>
      </w:r>
      <w:r>
        <w:rPr>
          <w:rFonts w:hint="eastAsia"/>
          <w:sz w:val="22"/>
        </w:rPr>
        <w:t>deliverable wire rods</w:t>
      </w:r>
      <w:r>
        <w:rPr>
          <w:sz w:val="22"/>
        </w:rPr>
        <w:t xml:space="preserve"> shall be measured by </w:t>
      </w:r>
      <w:r>
        <w:rPr>
          <w:rFonts w:hint="eastAsia"/>
          <w:sz w:val="22"/>
        </w:rPr>
        <w:t xml:space="preserve">actual </w:t>
      </w:r>
      <w:r>
        <w:rPr>
          <w:sz w:val="22"/>
        </w:rPr>
        <w:t>weigh</w:t>
      </w:r>
      <w:r>
        <w:rPr>
          <w:rFonts w:hint="eastAsia"/>
          <w:sz w:val="22"/>
        </w:rPr>
        <w:t>t</w:t>
      </w:r>
      <w:r>
        <w:rPr>
          <w:sz w:val="22"/>
        </w:rPr>
        <w:t xml:space="preserve">. Difference between standard warrant weight and actual delivery weight shall not exceed </w:t>
      </w:r>
      <w:r>
        <w:rPr>
          <w:rFonts w:hint="eastAsia"/>
          <w:sz w:val="22"/>
        </w:rPr>
        <w:t xml:space="preserve">plus or minus </w:t>
      </w:r>
      <w:r>
        <w:rPr>
          <w:sz w:val="22"/>
        </w:rPr>
        <w:t xml:space="preserve">three percent (±3%). </w:t>
      </w:r>
      <w:r>
        <w:rPr>
          <w:rFonts w:hint="eastAsia"/>
          <w:sz w:val="22"/>
        </w:rPr>
        <w:t>Pound difference</w:t>
      </w:r>
      <w:r>
        <w:rPr>
          <w:sz w:val="22"/>
        </w:rPr>
        <w:t xml:space="preserve"> shall not exceed </w:t>
      </w:r>
      <w:r>
        <w:rPr>
          <w:rFonts w:hint="eastAsia"/>
          <w:sz w:val="22"/>
        </w:rPr>
        <w:t xml:space="preserve">plus or minus </w:t>
      </w:r>
      <w:r>
        <w:rPr>
          <w:sz w:val="22"/>
        </w:rPr>
        <w:t xml:space="preserve">three-tenths of one percent (±0.3%). </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wire rod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wire rod futures contract is</w:t>
      </w:r>
      <w:r>
        <w:rPr>
          <w:sz w:val="22"/>
          <w:szCs w:val="22"/>
        </w:rPr>
        <w:t xml:space="preserve"> the two (2) consecutive business days immediately following the last trading day of the contract.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wire rod</w:t>
      </w:r>
      <w:r>
        <w:rPr>
          <w:sz w:val="22"/>
          <w:szCs w:val="22"/>
        </w:rPr>
        <w:t xml:space="preserve"> futures contract is its settlement price on the last trading day.</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eliverable commodities arises, the buyer shall submit a request for dispute resolution within twenty-five (25) days after the payment and the exchange of standard warrants, together with the quality assay report issued by a Designated Inspection Agency.</w:t>
      </w:r>
    </w:p>
    <w:p w:rsidR="00B70449" w:rsidRDefault="00B70449" w:rsidP="00B70449">
      <w:pPr>
        <w:tabs>
          <w:tab w:val="left" w:pos="1204"/>
        </w:tabs>
        <w:adjustRightInd w:val="0"/>
        <w:snapToGrid w:val="0"/>
        <w:spacing w:afterLines="100" w:after="312" w:line="259" w:lineRule="auto"/>
        <w:jc w:val="center"/>
        <w:rPr>
          <w:b/>
          <w:sz w:val="22"/>
          <w:szCs w:val="22"/>
        </w:rPr>
      </w:pPr>
      <w:r>
        <w:rPr>
          <w:rFonts w:hint="eastAsia"/>
          <w:b/>
          <w:sz w:val="22"/>
          <w:szCs w:val="22"/>
        </w:rPr>
        <w:t>SECTION 2 WAREHOUSE DELIVERY</w:t>
      </w:r>
    </w:p>
    <w:p w:rsidR="00B70449" w:rsidRDefault="00B70449" w:rsidP="00B70449">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24</w:t>
      </w:r>
      <w:r>
        <w:rPr>
          <w:b/>
          <w:bCs/>
          <w:sz w:val="22"/>
          <w:szCs w:val="22"/>
        </w:rPr>
        <w:tab/>
      </w:r>
      <w:r>
        <w:rPr>
          <w:sz w:val="22"/>
        </w:rPr>
        <w:t xml:space="preserve">The </w:t>
      </w:r>
      <w:r>
        <w:rPr>
          <w:rFonts w:hint="eastAsia"/>
          <w:sz w:val="22"/>
        </w:rPr>
        <w:t>validity period</w:t>
      </w:r>
      <w:r>
        <w:rPr>
          <w:sz w:val="22"/>
        </w:rPr>
        <w:t xml:space="preserve"> of each delivery set</w:t>
      </w:r>
      <w:r>
        <w:rPr>
          <w:rFonts w:hint="eastAsia"/>
          <w:sz w:val="22"/>
        </w:rPr>
        <w:t xml:space="preserve"> of wire rods</w:t>
      </w:r>
      <w:r>
        <w:rPr>
          <w:sz w:val="22"/>
        </w:rPr>
        <w:t xml:space="preserve"> shall be ninety (90) days following the date of production. A </w:t>
      </w:r>
      <w:r>
        <w:rPr>
          <w:rFonts w:hint="eastAsia"/>
          <w:sz w:val="22"/>
        </w:rPr>
        <w:t xml:space="preserve">warehouse </w:t>
      </w:r>
      <w:r>
        <w:rPr>
          <w:sz w:val="22"/>
        </w:rPr>
        <w:t xml:space="preserve">standard warrant shall not be issued unless the commodity is delivered to a delivery warehouse within </w:t>
      </w:r>
      <w:r>
        <w:rPr>
          <w:rFonts w:hint="eastAsia"/>
          <w:sz w:val="22"/>
        </w:rPr>
        <w:t>thirty</w:t>
      </w:r>
      <w:r>
        <w:rPr>
          <w:sz w:val="22"/>
        </w:rPr>
        <w:t xml:space="preserve"> (</w:t>
      </w:r>
      <w:r>
        <w:rPr>
          <w:rFonts w:hint="eastAsia"/>
          <w:sz w:val="22"/>
        </w:rPr>
        <w:t>30</w:t>
      </w:r>
      <w:r>
        <w:rPr>
          <w:sz w:val="22"/>
        </w:rPr>
        <w:t xml:space="preserve">) days following the date of production. </w:t>
      </w:r>
    </w:p>
    <w:p w:rsidR="00B70449" w:rsidRDefault="00B70449" w:rsidP="00B70449">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25</w:t>
      </w:r>
      <w:r>
        <w:rPr>
          <w:b/>
          <w:bCs/>
          <w:sz w:val="22"/>
          <w:szCs w:val="22"/>
        </w:rPr>
        <w:tab/>
      </w:r>
      <w:r>
        <w:rPr>
          <w:rFonts w:hint="eastAsia"/>
          <w:sz w:val="22"/>
        </w:rPr>
        <w:t xml:space="preserve">Deliverable </w:t>
      </w:r>
      <w:r>
        <w:rPr>
          <w:sz w:val="22"/>
        </w:rPr>
        <w:t>wire rod</w:t>
      </w:r>
      <w:r>
        <w:rPr>
          <w:rFonts w:hint="eastAsia"/>
          <w:sz w:val="22"/>
        </w:rPr>
        <w:t>s</w:t>
      </w:r>
      <w:r>
        <w:rPr>
          <w:sz w:val="22"/>
        </w:rPr>
        <w:t xml:space="preserve"> underlying each </w:t>
      </w:r>
      <w:r>
        <w:rPr>
          <w:rFonts w:hint="eastAsia"/>
          <w:sz w:val="22"/>
        </w:rPr>
        <w:t>warehouse</w:t>
      </w:r>
      <w:r>
        <w:rPr>
          <w:sz w:val="22"/>
        </w:rPr>
        <w:t xml:space="preserve"> standard warrant shall be stacked together. </w:t>
      </w:r>
    </w:p>
    <w:p w:rsidR="00B70449" w:rsidRDefault="00B70449" w:rsidP="00B70449">
      <w:pPr>
        <w:tabs>
          <w:tab w:val="left" w:pos="1204"/>
        </w:tabs>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26</w:t>
      </w:r>
      <w:r>
        <w:rPr>
          <w:b/>
          <w:bCs/>
          <w:sz w:val="22"/>
          <w:szCs w:val="22"/>
        </w:rPr>
        <w:tab/>
      </w:r>
      <w:r>
        <w:rPr>
          <w:sz w:val="22"/>
          <w:szCs w:val="22"/>
        </w:rPr>
        <w:t>After the physical delivery is completed, if the buyer has any dispute over the quality or quantity of the commodity</w:t>
      </w:r>
      <w:r>
        <w:rPr>
          <w:sz w:val="22"/>
        </w:rPr>
        <w:t xml:space="preserve"> (any wire rod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wire rod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rsidR="00B70449" w:rsidRDefault="00B70449" w:rsidP="00B70449">
      <w:pPr>
        <w:tabs>
          <w:tab w:val="left" w:pos="1204"/>
        </w:tabs>
        <w:adjustRightInd w:val="0"/>
        <w:snapToGrid w:val="0"/>
        <w:spacing w:afterLines="100" w:after="312" w:line="259" w:lineRule="auto"/>
        <w:jc w:val="center"/>
        <w:rPr>
          <w:b/>
          <w:sz w:val="22"/>
          <w:szCs w:val="22"/>
        </w:rPr>
      </w:pPr>
      <w:r>
        <w:rPr>
          <w:rFonts w:hint="eastAsia"/>
          <w:b/>
          <w:sz w:val="22"/>
          <w:szCs w:val="22"/>
        </w:rPr>
        <w:t>SECTION 3 FACTORY DELIVERY</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27</w:t>
      </w:r>
      <w:r>
        <w:rPr>
          <w:color w:val="000000"/>
          <w:sz w:val="22"/>
          <w:szCs w:val="22"/>
        </w:rPr>
        <w:tab/>
      </w:r>
      <w:r>
        <w:rPr>
          <w:rFonts w:hint="eastAsia"/>
          <w:color w:val="000000"/>
          <w:sz w:val="22"/>
          <w:szCs w:val="22"/>
        </w:rPr>
        <w:t>A</w:t>
      </w:r>
      <w:r>
        <w:rPr>
          <w:color w:val="000000"/>
          <w:sz w:val="22"/>
          <w:szCs w:val="22"/>
        </w:rPr>
        <w:t xml:space="preserve">n applicant for certification as a delivery </w:t>
      </w:r>
      <w:r>
        <w:rPr>
          <w:rFonts w:hint="eastAsia"/>
          <w:color w:val="000000"/>
          <w:sz w:val="22"/>
          <w:szCs w:val="22"/>
        </w:rPr>
        <w:t>factory</w:t>
      </w:r>
      <w:r>
        <w:rPr>
          <w:color w:val="000000"/>
          <w:sz w:val="22"/>
          <w:szCs w:val="22"/>
        </w:rPr>
        <w:t xml:space="preserve"> </w:t>
      </w:r>
      <w:r>
        <w:rPr>
          <w:rFonts w:hint="eastAsia"/>
          <w:color w:val="000000"/>
          <w:sz w:val="22"/>
          <w:szCs w:val="22"/>
        </w:rPr>
        <w:t xml:space="preserve">whose </w:t>
      </w:r>
      <w:r>
        <w:rPr>
          <w:color w:val="000000"/>
          <w:sz w:val="22"/>
          <w:szCs w:val="22"/>
        </w:rPr>
        <w:t xml:space="preserve">net assets </w:t>
      </w:r>
      <w:r>
        <w:rPr>
          <w:rFonts w:hint="eastAsia"/>
          <w:color w:val="000000"/>
          <w:sz w:val="22"/>
          <w:szCs w:val="22"/>
        </w:rPr>
        <w:t>are</w:t>
      </w:r>
      <w:r>
        <w:rPr>
          <w:color w:val="000000"/>
          <w:sz w:val="22"/>
          <w:szCs w:val="22"/>
        </w:rPr>
        <w:t xml:space="preserve"> less than RMB 100 million (100,000,000) yuan shall provide the Exchange with a letter of guarantee issued by </w:t>
      </w:r>
      <w:r>
        <w:rPr>
          <w:rFonts w:hint="eastAsia"/>
          <w:color w:val="000000"/>
          <w:sz w:val="22"/>
          <w:szCs w:val="22"/>
        </w:rPr>
        <w:t>a</w:t>
      </w:r>
      <w:r>
        <w:rPr>
          <w:color w:val="000000"/>
          <w:sz w:val="22"/>
          <w:szCs w:val="22"/>
        </w:rPr>
        <w:t xml:space="preserve"> relevant organization.</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Article 28</w:t>
      </w:r>
      <w:r>
        <w:rPr>
          <w:color w:val="000000"/>
          <w:sz w:val="22"/>
          <w:szCs w:val="22"/>
        </w:rPr>
        <w:tab/>
        <w:t>The</w:t>
      </w:r>
      <w:r>
        <w:rPr>
          <w:rFonts w:hint="eastAsia"/>
          <w:color w:val="000000"/>
          <w:sz w:val="22"/>
          <w:szCs w:val="22"/>
        </w:rPr>
        <w:t xml:space="preserve"> take-delivery locations</w:t>
      </w:r>
      <w:r>
        <w:rPr>
          <w:color w:val="000000"/>
          <w:sz w:val="22"/>
          <w:szCs w:val="22"/>
        </w:rPr>
        <w:t xml:space="preserve"> for a factory delivery include place</w:t>
      </w:r>
      <w:r>
        <w:rPr>
          <w:rFonts w:hint="eastAsia"/>
          <w:color w:val="000000"/>
          <w:sz w:val="22"/>
          <w:szCs w:val="22"/>
        </w:rPr>
        <w:t>s</w:t>
      </w:r>
      <w:r>
        <w:rPr>
          <w:color w:val="000000"/>
          <w:sz w:val="22"/>
          <w:szCs w:val="22"/>
        </w:rPr>
        <w:t xml:space="preserve"> of production </w:t>
      </w:r>
      <w:r>
        <w:rPr>
          <w:color w:val="000000"/>
          <w:sz w:val="22"/>
          <w:szCs w:val="22"/>
        </w:rPr>
        <w:lastRenderedPageBreak/>
        <w:t xml:space="preserve">of the registered enterprises </w:t>
      </w:r>
      <w:r>
        <w:rPr>
          <w:rFonts w:hint="eastAsia"/>
          <w:color w:val="000000"/>
          <w:sz w:val="22"/>
          <w:szCs w:val="22"/>
        </w:rPr>
        <w:t>for</w:t>
      </w:r>
      <w:r>
        <w:rPr>
          <w:color w:val="000000"/>
          <w:sz w:val="22"/>
          <w:szCs w:val="22"/>
        </w:rPr>
        <w:t xml:space="preserve"> the deliverable commodities of the Exchange’s relevant steel futures </w:t>
      </w:r>
      <w:r>
        <w:rPr>
          <w:rFonts w:hint="eastAsia"/>
          <w:color w:val="000000"/>
          <w:sz w:val="22"/>
          <w:szCs w:val="22"/>
        </w:rPr>
        <w:t>products</w:t>
      </w:r>
      <w:r>
        <w:rPr>
          <w:color w:val="000000"/>
          <w:sz w:val="22"/>
          <w:szCs w:val="22"/>
        </w:rPr>
        <w:t xml:space="preserve">, the </w:t>
      </w:r>
      <w:r>
        <w:rPr>
          <w:rFonts w:hint="eastAsia"/>
          <w:color w:val="000000"/>
          <w:sz w:val="22"/>
          <w:szCs w:val="22"/>
        </w:rPr>
        <w:t>Delivery Storage Facilities</w:t>
      </w:r>
      <w:r>
        <w:rPr>
          <w:color w:val="000000"/>
          <w:sz w:val="22"/>
          <w:szCs w:val="22"/>
        </w:rPr>
        <w:t>, and other</w:t>
      </w:r>
      <w:r>
        <w:rPr>
          <w:rFonts w:hint="eastAsia"/>
          <w:color w:val="000000"/>
          <w:sz w:val="22"/>
          <w:szCs w:val="22"/>
        </w:rPr>
        <w:t xml:space="preserve"> take-</w:t>
      </w:r>
      <w:r>
        <w:rPr>
          <w:color w:val="000000"/>
          <w:sz w:val="22"/>
          <w:szCs w:val="22"/>
        </w:rPr>
        <w:t>delivery</w:t>
      </w:r>
      <w:r>
        <w:rPr>
          <w:rFonts w:hint="eastAsia"/>
          <w:color w:val="000000"/>
          <w:sz w:val="22"/>
          <w:szCs w:val="22"/>
        </w:rPr>
        <w:t xml:space="preserve"> locations</w:t>
      </w:r>
      <w:r>
        <w:rPr>
          <w:color w:val="000000"/>
          <w:sz w:val="22"/>
          <w:szCs w:val="22"/>
        </w:rPr>
        <w:t xml:space="preserve"> announced by the Exchange.</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Article 29</w:t>
      </w:r>
      <w:r>
        <w:rPr>
          <w:color w:val="000000"/>
          <w:sz w:val="22"/>
          <w:szCs w:val="22"/>
        </w:rPr>
        <w:tab/>
      </w:r>
      <w:bookmarkStart w:id="2" w:name="_Hlk187736749"/>
      <w:r>
        <w:rPr>
          <w:rFonts w:hint="eastAsia"/>
          <w:color w:val="000000"/>
          <w:sz w:val="22"/>
          <w:szCs w:val="22"/>
        </w:rPr>
        <w:t>Factory take-delivery locations</w:t>
      </w:r>
      <w:r>
        <w:rPr>
          <w:color w:val="000000"/>
          <w:sz w:val="22"/>
          <w:szCs w:val="22"/>
        </w:rPr>
        <w:t xml:space="preserve"> are classified into benchmark </w:t>
      </w:r>
      <w:r>
        <w:rPr>
          <w:rFonts w:hint="eastAsia"/>
          <w:color w:val="000000"/>
          <w:sz w:val="22"/>
          <w:szCs w:val="22"/>
        </w:rPr>
        <w:t>take-delivery locations</w:t>
      </w:r>
      <w:r>
        <w:rPr>
          <w:color w:val="000000"/>
          <w:sz w:val="22"/>
          <w:szCs w:val="22"/>
        </w:rPr>
        <w:t xml:space="preserve"> and non-benchmark </w:t>
      </w:r>
      <w:r>
        <w:rPr>
          <w:rFonts w:hint="eastAsia"/>
          <w:color w:val="000000"/>
          <w:sz w:val="22"/>
          <w:szCs w:val="22"/>
        </w:rPr>
        <w:t>take-delivery locations</w:t>
      </w:r>
      <w:r>
        <w:rPr>
          <w:color w:val="000000"/>
          <w:sz w:val="22"/>
          <w:szCs w:val="22"/>
        </w:rPr>
        <w:t>.</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The list of benchmark </w:t>
      </w:r>
      <w:r>
        <w:rPr>
          <w:rFonts w:hint="eastAsia"/>
          <w:color w:val="000000"/>
          <w:sz w:val="22"/>
          <w:szCs w:val="22"/>
        </w:rPr>
        <w:t>take-delivery locations</w:t>
      </w:r>
      <w:r>
        <w:rPr>
          <w:color w:val="000000"/>
          <w:sz w:val="22"/>
          <w:szCs w:val="22"/>
        </w:rPr>
        <w:t xml:space="preserve"> and the corresponding </w:t>
      </w:r>
      <w:r>
        <w:rPr>
          <w:rFonts w:hint="eastAsia"/>
          <w:color w:val="000000"/>
          <w:sz w:val="22"/>
          <w:szCs w:val="22"/>
        </w:rPr>
        <w:t>take-delivery</w:t>
      </w:r>
      <w:r>
        <w:rPr>
          <w:color w:val="000000"/>
          <w:sz w:val="22"/>
          <w:szCs w:val="22"/>
        </w:rPr>
        <w:t xml:space="preserve"> premiums and discounts are as determined and announced by the Exchange.</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The list of non-benchmark </w:t>
      </w:r>
      <w:r>
        <w:rPr>
          <w:rFonts w:hint="eastAsia"/>
          <w:color w:val="000000"/>
          <w:sz w:val="22"/>
          <w:szCs w:val="22"/>
        </w:rPr>
        <w:t>take-delivery locations</w:t>
      </w:r>
      <w:r>
        <w:rPr>
          <w:color w:val="000000"/>
          <w:sz w:val="22"/>
          <w:szCs w:val="22"/>
        </w:rPr>
        <w:t xml:space="preserve"> and the corresponding </w:t>
      </w:r>
      <w:r>
        <w:rPr>
          <w:rFonts w:hint="eastAsia"/>
          <w:color w:val="000000"/>
          <w:sz w:val="22"/>
          <w:szCs w:val="22"/>
        </w:rPr>
        <w:t>take-delivery</w:t>
      </w:r>
      <w:r>
        <w:rPr>
          <w:color w:val="000000"/>
          <w:sz w:val="22"/>
          <w:szCs w:val="22"/>
        </w:rPr>
        <w:t xml:space="preserve"> premiums and discounts are as determined and adjusted by F</w:t>
      </w:r>
      <w:r>
        <w:rPr>
          <w:rFonts w:hint="eastAsia"/>
          <w:color w:val="000000"/>
          <w:sz w:val="22"/>
          <w:szCs w:val="22"/>
        </w:rPr>
        <w:t>actories</w:t>
      </w:r>
      <w:r>
        <w:rPr>
          <w:color w:val="000000"/>
          <w:sz w:val="22"/>
          <w:szCs w:val="22"/>
        </w:rPr>
        <w:t xml:space="preserve"> and announced on the website of the Exchange.</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The t</w:t>
      </w:r>
      <w:r>
        <w:rPr>
          <w:rFonts w:hint="eastAsia"/>
          <w:color w:val="000000"/>
          <w:sz w:val="22"/>
          <w:szCs w:val="22"/>
        </w:rPr>
        <w:t>ake-delivery</w:t>
      </w:r>
      <w:r>
        <w:rPr>
          <w:color w:val="000000"/>
          <w:sz w:val="22"/>
          <w:szCs w:val="22"/>
        </w:rPr>
        <w:t xml:space="preserve"> premium and discount of </w:t>
      </w:r>
      <w:r>
        <w:rPr>
          <w:rFonts w:hint="eastAsia"/>
          <w:color w:val="000000"/>
          <w:sz w:val="22"/>
          <w:szCs w:val="22"/>
        </w:rPr>
        <w:t>a</w:t>
      </w:r>
      <w:r>
        <w:rPr>
          <w:color w:val="000000"/>
          <w:sz w:val="22"/>
          <w:szCs w:val="22"/>
        </w:rPr>
        <w:t xml:space="preserve"> </w:t>
      </w:r>
      <w:r>
        <w:rPr>
          <w:rFonts w:hint="eastAsia"/>
          <w:color w:val="000000"/>
          <w:sz w:val="22"/>
          <w:szCs w:val="22"/>
        </w:rPr>
        <w:t>take-delivery location</w:t>
      </w:r>
      <w:r>
        <w:rPr>
          <w:color w:val="000000"/>
          <w:sz w:val="22"/>
          <w:szCs w:val="22"/>
        </w:rPr>
        <w:t xml:space="preserve"> shall be settled by the Factory and the owner holding the </w:t>
      </w:r>
      <w:r>
        <w:rPr>
          <w:rFonts w:hint="eastAsia"/>
          <w:color w:val="000000"/>
          <w:sz w:val="22"/>
          <w:szCs w:val="22"/>
        </w:rPr>
        <w:t xml:space="preserve">relevant </w:t>
      </w:r>
      <w:r>
        <w:rPr>
          <w:color w:val="000000"/>
          <w:sz w:val="22"/>
          <w:szCs w:val="22"/>
        </w:rPr>
        <w:t xml:space="preserve">factory </w:t>
      </w:r>
      <w:r>
        <w:rPr>
          <w:rFonts w:hint="eastAsia"/>
          <w:color w:val="000000"/>
          <w:sz w:val="22"/>
          <w:szCs w:val="22"/>
        </w:rPr>
        <w:t>standard warrants based on</w:t>
      </w:r>
      <w:r>
        <w:rPr>
          <w:color w:val="000000"/>
          <w:sz w:val="22"/>
          <w:szCs w:val="22"/>
        </w:rPr>
        <w:t xml:space="preserve"> the weight indicated on those </w:t>
      </w:r>
      <w:r>
        <w:rPr>
          <w:rFonts w:hint="eastAsia"/>
          <w:color w:val="000000"/>
          <w:sz w:val="22"/>
          <w:szCs w:val="22"/>
        </w:rPr>
        <w:t>warrants</w:t>
      </w:r>
      <w:r>
        <w:rPr>
          <w:color w:val="000000"/>
          <w:sz w:val="22"/>
          <w:szCs w:val="22"/>
        </w:rPr>
        <w:t>.</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rFonts w:hint="eastAsia"/>
          <w:color w:val="000000"/>
          <w:sz w:val="22"/>
          <w:szCs w:val="22"/>
        </w:rPr>
        <w:t>An</w:t>
      </w:r>
      <w:r>
        <w:rPr>
          <w:color w:val="000000"/>
          <w:sz w:val="22"/>
          <w:szCs w:val="22"/>
        </w:rPr>
        <w:t xml:space="preserve"> owner holding factory </w:t>
      </w:r>
      <w:r>
        <w:rPr>
          <w:rFonts w:hint="eastAsia"/>
          <w:color w:val="000000"/>
          <w:sz w:val="22"/>
          <w:szCs w:val="22"/>
        </w:rPr>
        <w:t>standard warrants</w:t>
      </w:r>
      <w:r>
        <w:rPr>
          <w:color w:val="000000"/>
          <w:sz w:val="22"/>
          <w:szCs w:val="22"/>
        </w:rPr>
        <w:t xml:space="preserve"> shall select and confirm the </w:t>
      </w:r>
      <w:r>
        <w:rPr>
          <w:rFonts w:hint="eastAsia"/>
          <w:color w:val="000000"/>
          <w:sz w:val="22"/>
          <w:szCs w:val="22"/>
        </w:rPr>
        <w:t>take-delivery location</w:t>
      </w:r>
      <w:r>
        <w:rPr>
          <w:color w:val="000000"/>
          <w:sz w:val="22"/>
          <w:szCs w:val="22"/>
        </w:rPr>
        <w:t xml:space="preserve"> when submitting </w:t>
      </w:r>
      <w:r>
        <w:rPr>
          <w:rFonts w:hint="eastAsia"/>
          <w:color w:val="000000"/>
          <w:sz w:val="22"/>
          <w:szCs w:val="22"/>
        </w:rPr>
        <w:t>an</w:t>
      </w:r>
      <w:r>
        <w:rPr>
          <w:color w:val="000000"/>
          <w:sz w:val="22"/>
          <w:szCs w:val="22"/>
        </w:rPr>
        <w:t xml:space="preserve"> application for taking delivery</w:t>
      </w:r>
      <w:bookmarkEnd w:id="2"/>
      <w:r>
        <w:rPr>
          <w:color w:val="000000"/>
          <w:sz w:val="22"/>
          <w:szCs w:val="22"/>
        </w:rPr>
        <w:t>.</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30</w:t>
      </w:r>
      <w:r>
        <w:rPr>
          <w:b/>
          <w:bCs/>
          <w:color w:val="000000"/>
          <w:sz w:val="22"/>
          <w:szCs w:val="22"/>
        </w:rPr>
        <w:tab/>
      </w:r>
      <w:r>
        <w:rPr>
          <w:color w:val="000000"/>
          <w:sz w:val="22"/>
          <w:szCs w:val="22"/>
        </w:rPr>
        <w:t>Application</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 name of the carrying Member, name of the owner, and the quantity of standard warrants to be issued.</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31</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sz w:val="22"/>
        </w:rPr>
        <w:t xml:space="preserve">The validity period for the delivery of </w:t>
      </w:r>
      <w:r>
        <w:rPr>
          <w:rFonts w:hint="eastAsia"/>
          <w:sz w:val="22"/>
        </w:rPr>
        <w:t>wire rod</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one</w:t>
      </w:r>
      <w:r>
        <w:rPr>
          <w:sz w:val="22"/>
        </w:rPr>
        <w:t xml:space="preserve"> </w:t>
      </w:r>
      <w:r>
        <w:rPr>
          <w:rFonts w:hint="eastAsia"/>
          <w:sz w:val="22"/>
        </w:rPr>
        <w:t xml:space="preserve">hundred and eighty </w:t>
      </w:r>
      <w:r>
        <w:rPr>
          <w:sz w:val="22"/>
        </w:rPr>
        <w:t>(</w:t>
      </w:r>
      <w:r>
        <w:rPr>
          <w:rFonts w:hint="eastAsia"/>
          <w:sz w:val="22"/>
        </w:rPr>
        <w:t>180</w:t>
      </w:r>
      <w:r>
        <w:rPr>
          <w:sz w:val="22"/>
        </w:rPr>
        <w:t xml:space="preserve">) </w:t>
      </w:r>
      <w:r>
        <w:rPr>
          <w:rFonts w:hint="eastAsia"/>
          <w:sz w:val="22"/>
        </w:rPr>
        <w:t>days</w:t>
      </w:r>
      <w:r>
        <w:rPr>
          <w:sz w:val="22"/>
        </w:rPr>
        <w:t xml:space="preserve"> from the date of creation of such warrant</w:t>
      </w:r>
      <w:r>
        <w:rPr>
          <w:rFonts w:hint="eastAsia"/>
          <w:sz w:val="22"/>
        </w:rPr>
        <w:t>.</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32</w:t>
      </w:r>
      <w:r>
        <w:rPr>
          <w:color w:val="000000"/>
          <w:sz w:val="22"/>
          <w:szCs w:val="22"/>
        </w:rPr>
        <w:tab/>
        <w:t>Application for taking delivery</w:t>
      </w:r>
    </w:p>
    <w:p w:rsidR="00B70449" w:rsidRDefault="00B70449" w:rsidP="00B70449">
      <w:pPr>
        <w:widowControl/>
        <w:tabs>
          <w:tab w:val="left" w:pos="709"/>
        </w:tabs>
        <w:adjustRightInd w:val="0"/>
        <w:snapToGrid w:val="0"/>
        <w:spacing w:afterLines="100" w:after="312" w:line="259" w:lineRule="auto"/>
        <w:jc w:val="left"/>
        <w:rPr>
          <w:color w:val="000000"/>
          <w:sz w:val="22"/>
          <w:szCs w:val="22"/>
          <w:shd w:val="pct10" w:color="auto" w:fill="FFFFFF"/>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A</w:t>
      </w:r>
      <w:r>
        <w:rPr>
          <w:rFonts w:hint="eastAsia"/>
          <w:color w:val="000000"/>
          <w:sz w:val="22"/>
          <w:szCs w:val="22"/>
        </w:rPr>
        <w:t xml:space="preserve">n </w:t>
      </w:r>
      <w:r>
        <w:rPr>
          <w:color w:val="000000"/>
          <w:sz w:val="22"/>
          <w:szCs w:val="22"/>
        </w:rPr>
        <w:t>owner shall submit an application through the Standard Warrant Management System to the intended Factory</w:t>
      </w:r>
      <w:r>
        <w:rPr>
          <w:rFonts w:hint="eastAsia"/>
          <w:color w:val="000000"/>
          <w:sz w:val="22"/>
          <w:szCs w:val="22"/>
        </w:rPr>
        <w:t xml:space="preserve"> </w:t>
      </w:r>
      <w:r>
        <w:rPr>
          <w:color w:val="000000"/>
          <w:sz w:val="22"/>
          <w:szCs w:val="22"/>
        </w:rPr>
        <w:t>in accordance with</w:t>
      </w:r>
      <w:r>
        <w:rPr>
          <w:rFonts w:hint="eastAsia"/>
          <w:color w:val="000000"/>
          <w:sz w:val="22"/>
          <w:szCs w:val="22"/>
        </w:rPr>
        <w:t xml:space="preserve"> the minimum take-delivery quantity, </w:t>
      </w:r>
      <w:r>
        <w:rPr>
          <w:color w:val="000000"/>
          <w:sz w:val="22"/>
          <w:szCs w:val="22"/>
        </w:rPr>
        <w:t>the application cut-off date</w:t>
      </w:r>
      <w:r>
        <w:rPr>
          <w:rFonts w:hint="eastAsia"/>
          <w:color w:val="000000"/>
          <w:sz w:val="22"/>
          <w:szCs w:val="22"/>
        </w:rPr>
        <w:t xml:space="preserve">, and other </w:t>
      </w:r>
      <w:r>
        <w:rPr>
          <w:color w:val="000000"/>
          <w:sz w:val="22"/>
          <w:szCs w:val="22"/>
        </w:rPr>
        <w:t>requirements</w:t>
      </w:r>
      <w:r>
        <w:rPr>
          <w:rFonts w:hint="eastAsia"/>
          <w:color w:val="000000"/>
          <w:sz w:val="22"/>
          <w:szCs w:val="22"/>
        </w:rPr>
        <w:t xml:space="preserve"> of the selected take-delivery location. T</w:t>
      </w:r>
      <w:r>
        <w:rPr>
          <w:color w:val="000000"/>
          <w:sz w:val="22"/>
          <w:szCs w:val="22"/>
        </w:rPr>
        <w:t>he specific</w:t>
      </w:r>
      <w:r>
        <w:rPr>
          <w:rFonts w:hint="eastAsia"/>
          <w:color w:val="000000"/>
          <w:sz w:val="22"/>
          <w:szCs w:val="22"/>
        </w:rPr>
        <w:t xml:space="preserve"> requirements </w:t>
      </w:r>
      <w:r>
        <w:rPr>
          <w:color w:val="000000"/>
          <w:sz w:val="22"/>
          <w:szCs w:val="22"/>
        </w:rPr>
        <w:t xml:space="preserve">will be separately announced by the Exchange. The application shall specify such information as </w:t>
      </w:r>
      <w:r>
        <w:rPr>
          <w:rFonts w:hint="eastAsia"/>
          <w:color w:val="000000"/>
          <w:sz w:val="22"/>
          <w:szCs w:val="22"/>
        </w:rPr>
        <w:t>the</w:t>
      </w:r>
      <w:r>
        <w:rPr>
          <w:color w:val="000000"/>
          <w:sz w:val="22"/>
          <w:szCs w:val="22"/>
        </w:rPr>
        <w:t xml:space="preserve"> quantity of the commodity, the proposed take-delivery date, method, and plan (including daily quantity), as well as the identification certificate and telephone number of the delivery taker. </w:t>
      </w:r>
    </w:p>
    <w:p w:rsidR="00B70449" w:rsidRDefault="00B70449" w:rsidP="00B70449">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w:t>
      </w:r>
      <w:r>
        <w:rPr>
          <w:rFonts w:hint="eastAsia"/>
          <w:color w:val="000000"/>
          <w:sz w:val="22"/>
          <w:szCs w:val="22"/>
        </w:rPr>
        <w:t>, specifications of the commodity,</w:t>
      </w:r>
      <w:r>
        <w:rPr>
          <w:color w:val="000000"/>
          <w:sz w:val="22"/>
          <w:szCs w:val="22"/>
        </w:rPr>
        <w:t xml:space="preserve"> and corresponding manufacturer’s production plan.</w:t>
      </w:r>
    </w:p>
    <w:p w:rsidR="00B70449" w:rsidRDefault="00B70449" w:rsidP="00B70449">
      <w:pPr>
        <w:adjustRightInd w:val="0"/>
        <w:snapToGrid w:val="0"/>
        <w:spacing w:afterLines="100" w:after="312" w:line="259"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 xml:space="preserve">the owner’s proposed take-delivery date coincides with that of other owners holding factory standard warrants and their total daily take-delivery quantity exceeds the daily shipment </w:t>
      </w:r>
      <w:r>
        <w:rPr>
          <w:color w:val="000000"/>
          <w:sz w:val="22"/>
          <w:szCs w:val="22"/>
        </w:rPr>
        <w:lastRenderedPageBreak/>
        <w:t>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rsidR="00B70449" w:rsidRDefault="00B70449" w:rsidP="00B70449">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(iii)</w:t>
      </w:r>
      <w:r>
        <w:rPr>
          <w:color w:val="000000"/>
          <w:sz w:val="22"/>
          <w:szCs w:val="22"/>
        </w:rPr>
        <w:tab/>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 xml:space="preserve">described in </w:t>
      </w:r>
      <w:r>
        <w:rPr>
          <w:rFonts w:hint="eastAsia"/>
          <w:color w:val="000000"/>
          <w:sz w:val="22"/>
          <w:szCs w:val="22"/>
        </w:rPr>
        <w:t xml:space="preserve">the above </w:t>
      </w:r>
      <w:r>
        <w:rPr>
          <w:color w:val="000000"/>
          <w:sz w:val="22"/>
          <w:szCs w:val="22"/>
        </w:rPr>
        <w:t>sub-paragraph, provided that the Factory shall timely report such delay and its causes to the Exchange for written record.</w:t>
      </w:r>
    </w:p>
    <w:p w:rsidR="00B70449" w:rsidRDefault="00B70449" w:rsidP="00B70449">
      <w:pPr>
        <w:tabs>
          <w:tab w:val="left" w:pos="1195"/>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33</w:t>
      </w:r>
      <w:r>
        <w:rPr>
          <w:color w:val="000000"/>
          <w:sz w:val="22"/>
          <w:szCs w:val="22"/>
        </w:rPr>
        <w:tab/>
      </w:r>
      <w:r>
        <w:rPr>
          <w:rFonts w:hint="eastAsia"/>
          <w:color w:val="000000"/>
          <w:sz w:val="22"/>
          <w:szCs w:val="22"/>
        </w:rPr>
        <w:t>Production date</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The production date of load-out commodity shall be within </w:t>
      </w:r>
      <w:r>
        <w:rPr>
          <w:rFonts w:hint="eastAsia"/>
          <w:color w:val="000000"/>
          <w:sz w:val="22"/>
          <w:szCs w:val="22"/>
        </w:rPr>
        <w:t>ninety</w:t>
      </w:r>
      <w:r>
        <w:rPr>
          <w:color w:val="000000"/>
          <w:sz w:val="22"/>
          <w:szCs w:val="22"/>
        </w:rPr>
        <w:t xml:space="preserve"> </w:t>
      </w:r>
      <w:r>
        <w:rPr>
          <w:rFonts w:hint="eastAsia"/>
          <w:color w:val="000000"/>
          <w:sz w:val="22"/>
          <w:szCs w:val="22"/>
        </w:rPr>
        <w:t xml:space="preserve">(90) </w:t>
      </w:r>
      <w:r>
        <w:rPr>
          <w:color w:val="000000"/>
          <w:sz w:val="22"/>
          <w:szCs w:val="22"/>
        </w:rPr>
        <w:t xml:space="preserve">days before the </w:t>
      </w:r>
      <w:r>
        <w:rPr>
          <w:rFonts w:hint="eastAsia"/>
          <w:color w:val="000000"/>
          <w:sz w:val="22"/>
          <w:szCs w:val="22"/>
        </w:rPr>
        <w:t>take-</w:t>
      </w:r>
      <w:r>
        <w:rPr>
          <w:color w:val="000000"/>
          <w:sz w:val="22"/>
          <w:szCs w:val="22"/>
        </w:rPr>
        <w:t xml:space="preserve">delivery date </w:t>
      </w:r>
      <w:r>
        <w:rPr>
          <w:rFonts w:hint="eastAsia"/>
          <w:color w:val="000000"/>
          <w:sz w:val="22"/>
          <w:szCs w:val="22"/>
        </w:rPr>
        <w:t>agreed</w:t>
      </w:r>
      <w:r>
        <w:rPr>
          <w:color w:val="000000"/>
          <w:sz w:val="22"/>
          <w:szCs w:val="22"/>
        </w:rPr>
        <w:t xml:space="preserve"> between the owner and the </w:t>
      </w:r>
      <w:r>
        <w:rPr>
          <w:rFonts w:hint="eastAsia"/>
          <w:color w:val="000000"/>
          <w:sz w:val="22"/>
          <w:szCs w:val="22"/>
        </w:rPr>
        <w:t>Factory</w:t>
      </w:r>
      <w:r>
        <w:rPr>
          <w:color w:val="000000"/>
          <w:sz w:val="22"/>
          <w:szCs w:val="22"/>
        </w:rPr>
        <w:t>. The wire rods to be loaded out under each factory standard warrant shall have production dates within a period of thirty (30) consecutive days.</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34</w:t>
      </w:r>
      <w:r>
        <w:rPr>
          <w:color w:val="000000"/>
          <w:sz w:val="22"/>
          <w:szCs w:val="22"/>
        </w:rPr>
        <w:tab/>
        <w:t>The weight of load-out commodity shall be</w:t>
      </w:r>
      <w:r>
        <w:rPr>
          <w:rFonts w:hint="eastAsia"/>
          <w:color w:val="000000"/>
          <w:sz w:val="22"/>
          <w:szCs w:val="22"/>
        </w:rPr>
        <w:t xml:space="preserve"> </w:t>
      </w:r>
      <w:r>
        <w:rPr>
          <w:color w:val="000000"/>
          <w:sz w:val="22"/>
          <w:szCs w:val="22"/>
        </w:rPr>
        <w:t>inspected</w:t>
      </w:r>
      <w:r>
        <w:rPr>
          <w:rFonts w:hint="eastAsia"/>
          <w:color w:val="000000"/>
          <w:sz w:val="22"/>
          <w:szCs w:val="22"/>
        </w:rPr>
        <w:t xml:space="preserve"> by the Factory</w:t>
      </w:r>
      <w:r>
        <w:rPr>
          <w:color w:val="000000"/>
          <w:sz w:val="22"/>
          <w:szCs w:val="22"/>
        </w:rPr>
        <w:t>.</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35</w:t>
      </w:r>
      <w:r>
        <w:rPr>
          <w:color w:val="000000"/>
          <w:sz w:val="22"/>
          <w:szCs w:val="22"/>
        </w:rPr>
        <w:tab/>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relevant </w:t>
      </w:r>
      <w:r>
        <w:rPr>
          <w:color w:val="000000"/>
          <w:sz w:val="22"/>
          <w:szCs w:val="22"/>
        </w:rPr>
        <w:t>futures standards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Overdue fine = 2 yuan/metric ton per day × quantity of commodity that should have been taken × number of days overdue</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36</w:t>
      </w:r>
      <w:r>
        <w:rPr>
          <w:color w:val="000000"/>
          <w:sz w:val="22"/>
          <w:szCs w:val="22"/>
        </w:rPr>
        <w:tab/>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Overdue fine = 35 yuan/metric ton × quantity of commodity that should have been taken</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37</w:t>
      </w:r>
      <w:r>
        <w:rPr>
          <w:color w:val="000000"/>
          <w:sz w:val="22"/>
          <w:szCs w:val="22"/>
        </w:rPr>
        <w:tab/>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w:t>
      </w:r>
      <w:r>
        <w:rPr>
          <w:color w:val="000000"/>
          <w:sz w:val="22"/>
          <w:szCs w:val="22"/>
        </w:rPr>
        <w:lastRenderedPageBreak/>
        <w:t>delivery date, then the Factory shall pay compensation to the owner.</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Compensation = 50 yuan/metric ton × quantity of commodity that should have been shipped according to the daily shipment plan</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38</w:t>
      </w:r>
      <w:r>
        <w:rPr>
          <w:color w:val="000000"/>
          <w:sz w:val="22"/>
          <w:szCs w:val="22"/>
        </w:rPr>
        <w:tab/>
        <w:t>If the Factory fails to complete the shipment within fifteen (15) days (including the 15th day) after the agreed take-delivery date, the owner may choose either of the followings:</w:t>
      </w:r>
    </w:p>
    <w:p w:rsidR="00B70449" w:rsidRDefault="00B70449" w:rsidP="00B70449">
      <w:pPr>
        <w:widowControl/>
        <w:tabs>
          <w:tab w:val="left" w:pos="709"/>
        </w:tabs>
        <w:adjustRightInd w:val="0"/>
        <w:snapToGrid w:val="0"/>
        <w:spacing w:afterLines="100" w:after="312"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rsidR="00B70449" w:rsidRDefault="00B70449" w:rsidP="00B70449">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rsidR="00B70449" w:rsidRDefault="00B70449" w:rsidP="00B70449">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39</w:t>
      </w:r>
      <w:r>
        <w:rPr>
          <w:color w:val="000000"/>
          <w:sz w:val="22"/>
          <w:szCs w:val="22"/>
        </w:rPr>
        <w:tab/>
        <w:t xml:space="preserve">If a Factory commits any default described in Article </w:t>
      </w:r>
      <w:r>
        <w:rPr>
          <w:rFonts w:hint="eastAsia"/>
          <w:color w:val="000000"/>
          <w:sz w:val="22"/>
          <w:szCs w:val="22"/>
        </w:rPr>
        <w:t>37</w:t>
      </w:r>
      <w:r>
        <w:rPr>
          <w:color w:val="000000"/>
          <w:sz w:val="22"/>
          <w:szCs w:val="22"/>
        </w:rPr>
        <w:t xml:space="preserve"> or </w:t>
      </w:r>
      <w:r>
        <w:rPr>
          <w:rFonts w:hint="eastAsia"/>
          <w:color w:val="000000"/>
          <w:sz w:val="22"/>
          <w:szCs w:val="22"/>
        </w:rPr>
        <w:t>38</w:t>
      </w:r>
      <w:r>
        <w:rPr>
          <w:color w:val="000000"/>
          <w:sz w:val="22"/>
          <w:szCs w:val="22"/>
        </w:rPr>
        <w:t>, it shall pay compensation directly to the owner.</w:t>
      </w:r>
      <w:r>
        <w:rPr>
          <w:rFonts w:eastAsia="方正仿宋简体" w:hint="eastAsia"/>
          <w:color w:val="000000"/>
          <w:sz w:val="22"/>
          <w:szCs w:val="22"/>
        </w:rPr>
        <w:t xml:space="preserve"> </w:t>
      </w:r>
      <w:r>
        <w:rPr>
          <w:color w:val="000000"/>
          <w:sz w:val="22"/>
          <w:szCs w:val="22"/>
        </w:rPr>
        <w:t xml:space="preserve">If the Factory fails to make the payment in full or in part, the Exchange shall pay any deficient amount to the owner: </w:t>
      </w:r>
    </w:p>
    <w:p w:rsidR="00B70449" w:rsidRDefault="00B70449" w:rsidP="00B70449">
      <w:pPr>
        <w:widowControl/>
        <w:tabs>
          <w:tab w:val="left" w:pos="709"/>
        </w:tabs>
        <w:adjustRightInd w:val="0"/>
        <w:snapToGrid w:val="0"/>
        <w:spacing w:afterLines="100" w:after="312"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proofErr w:type="gramStart"/>
      <w:r>
        <w:rPr>
          <w:color w:val="000000"/>
          <w:sz w:val="22"/>
          <w:szCs w:val="22"/>
        </w:rPr>
        <w:t>with</w:t>
      </w:r>
      <w:proofErr w:type="gramEnd"/>
      <w:r>
        <w:rPr>
          <w:color w:val="000000"/>
          <w:sz w:val="22"/>
          <w:szCs w:val="22"/>
        </w:rPr>
        <w:t xml:space="preserve"> the guarantees provided by the Factory; or</w:t>
      </w:r>
    </w:p>
    <w:p w:rsidR="00B70449" w:rsidRDefault="00B70449" w:rsidP="00B70449">
      <w:pPr>
        <w:widowControl/>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r>
      <w:proofErr w:type="gramStart"/>
      <w:r>
        <w:rPr>
          <w:color w:val="000000"/>
          <w:sz w:val="22"/>
          <w:szCs w:val="22"/>
        </w:rPr>
        <w:t>with</w:t>
      </w:r>
      <w:proofErr w:type="gramEnd"/>
      <w:r>
        <w:rPr>
          <w:color w:val="000000"/>
          <w:sz w:val="22"/>
          <w:szCs w:val="22"/>
        </w:rPr>
        <w:t xml:space="preserve"> the Exchange’s funds and recourse to the Factory by such means as legal proceedings.</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40</w:t>
      </w:r>
      <w:r>
        <w:rPr>
          <w:color w:val="000000"/>
          <w:sz w:val="22"/>
          <w:szCs w:val="22"/>
        </w:rPr>
        <w:tab/>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35</w:t>
      </w:r>
      <w:r>
        <w:rPr>
          <w:color w:val="000000"/>
          <w:sz w:val="22"/>
          <w:szCs w:val="22"/>
        </w:rPr>
        <w:t xml:space="preserve"> or </w:t>
      </w:r>
      <w:r>
        <w:rPr>
          <w:rFonts w:hint="eastAsia"/>
          <w:color w:val="000000"/>
          <w:sz w:val="22"/>
          <w:szCs w:val="22"/>
        </w:rPr>
        <w:t>36</w:t>
      </w:r>
      <w:r>
        <w:rPr>
          <w:color w:val="000000"/>
          <w:sz w:val="22"/>
          <w:szCs w:val="22"/>
        </w:rPr>
        <w:t>, it shall pay compensation directly to the Factory. If the owner fails to make the payment in full or in part, the Factory may recourse to the owner by such means as legal proceedings.</w:t>
      </w:r>
    </w:p>
    <w:p w:rsidR="00B70449" w:rsidRDefault="00B70449" w:rsidP="00B70449">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41</w:t>
      </w:r>
      <w:r>
        <w:rPr>
          <w:color w:val="000000"/>
          <w:sz w:val="22"/>
          <w:szCs w:val="22"/>
        </w:rPr>
        <w:tab/>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35</w:t>
      </w:r>
      <w:r>
        <w:rPr>
          <w:color w:val="000000"/>
          <w:sz w:val="22"/>
          <w:szCs w:val="22"/>
        </w:rPr>
        <w:t xml:space="preserve">, </w:t>
      </w:r>
      <w:r>
        <w:rPr>
          <w:rFonts w:hint="eastAsia"/>
          <w:color w:val="000000"/>
          <w:sz w:val="22"/>
          <w:szCs w:val="22"/>
        </w:rPr>
        <w:t>36</w:t>
      </w:r>
      <w:r>
        <w:rPr>
          <w:color w:val="000000"/>
          <w:sz w:val="22"/>
          <w:szCs w:val="22"/>
        </w:rPr>
        <w:t xml:space="preserve">, </w:t>
      </w:r>
      <w:r>
        <w:rPr>
          <w:rFonts w:hint="eastAsia"/>
          <w:color w:val="000000"/>
          <w:sz w:val="22"/>
          <w:szCs w:val="22"/>
        </w:rPr>
        <w:t>37</w:t>
      </w:r>
      <w:r>
        <w:rPr>
          <w:color w:val="000000"/>
          <w:sz w:val="22"/>
          <w:szCs w:val="22"/>
        </w:rPr>
        <w:t xml:space="preserve"> or</w:t>
      </w:r>
      <w:r>
        <w:rPr>
          <w:rFonts w:hint="eastAsia"/>
          <w:color w:val="000000"/>
          <w:sz w:val="22"/>
          <w:szCs w:val="22"/>
        </w:rPr>
        <w:t xml:space="preserve"> 38</w:t>
      </w:r>
      <w:r>
        <w:rPr>
          <w:color w:val="000000"/>
          <w:sz w:val="22"/>
          <w:szCs w:val="22"/>
        </w:rPr>
        <w:t xml:space="preserve"> shall be handled by both parties as agreed if they have reached a separate agreement. The agreement shall be filed in writing with the Exchange for record. </w:t>
      </w:r>
    </w:p>
    <w:p w:rsidR="00B70449" w:rsidRDefault="00B70449" w:rsidP="00B70449">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42</w:t>
      </w:r>
      <w:r>
        <w:rPr>
          <w:color w:val="000000"/>
          <w:sz w:val="22"/>
          <w:szCs w:val="22"/>
        </w:rPr>
        <w:tab/>
        <w:t>Quality dispute resolution</w:t>
      </w:r>
    </w:p>
    <w:p w:rsidR="00B70449" w:rsidRDefault="00B70449" w:rsidP="00B70449">
      <w:pPr>
        <w:tabs>
          <w:tab w:val="left" w:pos="1204"/>
        </w:tabs>
        <w:adjustRightInd w:val="0"/>
        <w:snapToGrid w:val="0"/>
        <w:spacing w:afterLines="100" w:after="312" w:line="259" w:lineRule="auto"/>
        <w:jc w:val="left"/>
        <w:rPr>
          <w:color w:val="000000"/>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w:t>
      </w:r>
      <w:r>
        <w:rPr>
          <w:rFonts w:hint="eastAsia"/>
          <w:color w:val="000000"/>
          <w:sz w:val="22"/>
          <w:szCs w:val="22"/>
        </w:rPr>
        <w:t>ten</w:t>
      </w:r>
      <w:r>
        <w:rPr>
          <w:color w:val="000000"/>
          <w:sz w:val="22"/>
          <w:szCs w:val="22"/>
        </w:rPr>
        <w:t xml:space="preserve"> (</w:t>
      </w:r>
      <w:r>
        <w:rPr>
          <w:rFonts w:hint="eastAsia"/>
          <w:color w:val="000000"/>
          <w:sz w:val="22"/>
          <w:szCs w:val="22"/>
        </w:rPr>
        <w:t>10</w:t>
      </w:r>
      <w:r>
        <w:rPr>
          <w:color w:val="000000"/>
          <w:sz w:val="22"/>
          <w:szCs w:val="22"/>
        </w:rPr>
        <w:t>)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rsidR="00B70449" w:rsidRDefault="00B70449" w:rsidP="00B70449">
      <w:pPr>
        <w:tabs>
          <w:tab w:val="left" w:pos="1204"/>
        </w:tabs>
        <w:adjustRightInd w:val="0"/>
        <w:snapToGrid w:val="0"/>
        <w:spacing w:afterLines="100" w:after="312" w:line="259" w:lineRule="auto"/>
        <w:jc w:val="left"/>
        <w:rPr>
          <w:sz w:val="22"/>
          <w:szCs w:val="22"/>
        </w:rPr>
      </w:pPr>
      <w:r>
        <w:rPr>
          <w:b/>
          <w:bCs/>
          <w:color w:val="000000"/>
          <w:sz w:val="22"/>
          <w:szCs w:val="22"/>
        </w:rPr>
        <w:lastRenderedPageBreak/>
        <w:t xml:space="preserve">Article </w:t>
      </w:r>
      <w:r>
        <w:rPr>
          <w:rFonts w:hint="eastAsia"/>
          <w:b/>
          <w:bCs/>
          <w:color w:val="000000"/>
          <w:sz w:val="22"/>
          <w:szCs w:val="22"/>
        </w:rPr>
        <w:t>43</w:t>
      </w:r>
      <w:r>
        <w:rPr>
          <w:b/>
          <w:bCs/>
          <w:color w:val="000000"/>
          <w:sz w:val="22"/>
          <w:szCs w:val="22"/>
        </w:rPr>
        <w:tab/>
      </w:r>
      <w:r>
        <w:rPr>
          <w:color w:val="000000"/>
          <w:sz w:val="22"/>
          <w:szCs w:val="22"/>
        </w:rPr>
        <w:t>Upon the cancellation of a factory standard warrant, the Factory may apply to the Exchange for an adjustment of the amount of guarantees it is required to provide.</w:t>
      </w:r>
    </w:p>
    <w:p w:rsidR="00B70449" w:rsidRDefault="00B70449" w:rsidP="00B70449">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44</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wire rod futures contract is 7%.</w:t>
      </w: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45</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wire rod futures are as follows:</w:t>
      </w:r>
    </w:p>
    <w:tbl>
      <w:tblPr>
        <w:tblW w:w="5000" w:type="pct"/>
        <w:tblCellMar>
          <w:top w:w="61" w:type="dxa"/>
          <w:right w:w="24" w:type="dxa"/>
        </w:tblCellMar>
        <w:tblLook w:val="04A0" w:firstRow="1" w:lastRow="0" w:firstColumn="1" w:lastColumn="0" w:noHBand="0" w:noVBand="1"/>
      </w:tblPr>
      <w:tblGrid>
        <w:gridCol w:w="5719"/>
        <w:gridCol w:w="2577"/>
      </w:tblGrid>
      <w:tr w:rsidR="00B70449"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b/>
                <w:sz w:val="20"/>
                <w:szCs w:val="20"/>
              </w:rPr>
            </w:pPr>
            <w:r>
              <w:rPr>
                <w:b/>
                <w:sz w:val="20"/>
                <w:szCs w:val="20"/>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b/>
                <w:sz w:val="20"/>
                <w:szCs w:val="20"/>
              </w:rPr>
            </w:pPr>
            <w:r>
              <w:rPr>
                <w:b/>
                <w:sz w:val="20"/>
                <w:szCs w:val="20"/>
              </w:rPr>
              <w:t>Trading Margin</w:t>
            </w:r>
          </w:p>
        </w:tc>
      </w:tr>
      <w:tr w:rsidR="00B70449"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sz w:val="20"/>
                <w:szCs w:val="20"/>
              </w:rPr>
            </w:pPr>
            <w:r>
              <w:rPr>
                <w:rFonts w:hint="eastAsia"/>
                <w:sz w:val="20"/>
                <w:szCs w:val="20"/>
              </w:rPr>
              <w:t>7</w:t>
            </w:r>
            <w:r>
              <w:rPr>
                <w:sz w:val="20"/>
                <w:szCs w:val="20"/>
              </w:rPr>
              <w:t>%</w:t>
            </w:r>
          </w:p>
        </w:tc>
      </w:tr>
      <w:tr w:rsidR="00B70449"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10%</w:t>
            </w:r>
          </w:p>
        </w:tc>
      </w:tr>
      <w:tr w:rsidR="00B70449"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15%</w:t>
            </w:r>
          </w:p>
        </w:tc>
      </w:tr>
      <w:tr w:rsidR="00B70449"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20%</w:t>
            </w:r>
          </w:p>
        </w:tc>
      </w:tr>
    </w:tbl>
    <w:p w:rsidR="00B70449" w:rsidRDefault="00B70449" w:rsidP="00B70449">
      <w:pPr>
        <w:tabs>
          <w:tab w:val="left" w:pos="1204"/>
        </w:tabs>
        <w:adjustRightInd w:val="0"/>
        <w:snapToGrid w:val="0"/>
        <w:spacing w:afterLines="100" w:after="312" w:line="259" w:lineRule="auto"/>
        <w:jc w:val="left"/>
        <w:rPr>
          <w:b/>
          <w:bCs/>
          <w:sz w:val="22"/>
          <w:szCs w:val="22"/>
        </w:rPr>
      </w:pPr>
    </w:p>
    <w:p w:rsidR="00B70449" w:rsidRDefault="00B70449" w:rsidP="00B70449">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46</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wire rod futures contract is w</w:t>
      </w:r>
      <w:r>
        <w:rPr>
          <w:sz w:val="22"/>
          <w:szCs w:val="22"/>
        </w:rPr>
        <w:t>ithin ±</w:t>
      </w:r>
      <w:r>
        <w:rPr>
          <w:rFonts w:hint="eastAsia"/>
          <w:sz w:val="22"/>
          <w:szCs w:val="22"/>
        </w:rPr>
        <w:t>5</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rsidR="00B70449" w:rsidRDefault="00B70449" w:rsidP="00B70449">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47</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wire rod</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30"/>
        <w:gridCol w:w="880"/>
        <w:gridCol w:w="1082"/>
        <w:gridCol w:w="1119"/>
        <w:gridCol w:w="734"/>
        <w:gridCol w:w="681"/>
        <w:gridCol w:w="806"/>
        <w:gridCol w:w="685"/>
        <w:gridCol w:w="791"/>
        <w:gridCol w:w="682"/>
      </w:tblGrid>
      <w:tr w:rsidR="00B70449" w:rsidTr="00943697">
        <w:trPr>
          <w:cantSplit/>
          <w:trHeight w:val="20"/>
        </w:trPr>
        <w:tc>
          <w:tcPr>
            <w:tcW w:w="508" w:type="pct"/>
            <w:vMerge w:val="restar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1198" w:type="pct"/>
            <w:gridSpan w:val="2"/>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From the date of listing to the delivery month</w:t>
            </w:r>
          </w:p>
        </w:tc>
        <w:tc>
          <w:tcPr>
            <w:tcW w:w="1479" w:type="pct"/>
            <w:gridSpan w:val="3"/>
            <w:tcBorders>
              <w:top w:val="single" w:sz="6" w:space="0" w:color="auto"/>
              <w:left w:val="single" w:sz="4"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From the date of listing to the last trading day of the second month prior to the delivery month</w:t>
            </w:r>
          </w:p>
        </w:tc>
        <w:tc>
          <w:tcPr>
            <w:tcW w:w="913" w:type="pct"/>
            <w:gridSpan w:val="2"/>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First month prior to the delivery month</w:t>
            </w:r>
          </w:p>
        </w:tc>
        <w:tc>
          <w:tcPr>
            <w:tcW w:w="902" w:type="pct"/>
            <w:gridSpan w:val="2"/>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Delivery month</w:t>
            </w:r>
          </w:p>
        </w:tc>
      </w:tr>
      <w:tr w:rsidR="00B70449" w:rsidTr="00943697">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538" w:type="pct"/>
            <w:vMerge w:val="restart"/>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Total open</w:t>
            </w:r>
          </w:p>
          <w:p w:rsidR="00B70449" w:rsidRDefault="00B70449" w:rsidP="00943697">
            <w:pPr>
              <w:tabs>
                <w:tab w:val="left" w:pos="1204"/>
              </w:tabs>
              <w:adjustRightInd w:val="0"/>
              <w:snapToGrid w:val="0"/>
              <w:spacing w:before="60" w:after="60"/>
              <w:jc w:val="center"/>
              <w:rPr>
                <w:bCs/>
                <w:sz w:val="20"/>
                <w:szCs w:val="20"/>
              </w:rPr>
            </w:pPr>
            <w:r>
              <w:rPr>
                <w:sz w:val="20"/>
                <w:szCs w:val="20"/>
              </w:rPr>
              <w:t>interest</w:t>
            </w:r>
          </w:p>
        </w:tc>
        <w:tc>
          <w:tcPr>
            <w:tcW w:w="660" w:type="pct"/>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Percentage-based Position Limit (%)</w:t>
            </w:r>
          </w:p>
        </w:tc>
        <w:tc>
          <w:tcPr>
            <w:tcW w:w="682" w:type="pct"/>
            <w:vMerge w:val="restart"/>
            <w:tcBorders>
              <w:top w:val="single" w:sz="6" w:space="0" w:color="auto"/>
              <w:left w:val="single" w:sz="4"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sz w:val="20"/>
                <w:szCs w:val="20"/>
              </w:rPr>
            </w:pPr>
            <w:r>
              <w:rPr>
                <w:sz w:val="20"/>
                <w:szCs w:val="20"/>
              </w:rPr>
              <w:t>Total open</w:t>
            </w:r>
          </w:p>
          <w:p w:rsidR="00B70449" w:rsidRDefault="00B70449" w:rsidP="00943697">
            <w:pPr>
              <w:tabs>
                <w:tab w:val="left" w:pos="1204"/>
              </w:tabs>
              <w:adjustRightInd w:val="0"/>
              <w:snapToGrid w:val="0"/>
              <w:spacing w:before="60" w:after="60"/>
              <w:jc w:val="center"/>
              <w:rPr>
                <w:bCs/>
                <w:sz w:val="20"/>
                <w:szCs w:val="20"/>
              </w:rPr>
            </w:pPr>
            <w:r>
              <w:rPr>
                <w:sz w:val="20"/>
                <w:szCs w:val="20"/>
              </w:rPr>
              <w:t>interest</w:t>
            </w:r>
          </w:p>
        </w:tc>
        <w:tc>
          <w:tcPr>
            <w:tcW w:w="797" w:type="pct"/>
            <w:gridSpan w:val="2"/>
            <w:tcBorders>
              <w:top w:val="single" w:sz="6" w:space="0" w:color="auto"/>
              <w:left w:val="single" w:sz="4"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sz w:val="20"/>
                <w:szCs w:val="20"/>
              </w:rPr>
            </w:pPr>
            <w:r>
              <w:rPr>
                <w:bCs/>
                <w:sz w:val="20"/>
                <w:szCs w:val="20"/>
              </w:rPr>
              <w:t xml:space="preserve">Percentage-based Position Limit (%) and </w:t>
            </w:r>
            <w:r>
              <w:rPr>
                <w:sz w:val="20"/>
                <w:szCs w:val="20"/>
              </w:rPr>
              <w:t>fixed-amount Position Limit (in lots)</w:t>
            </w:r>
          </w:p>
        </w:tc>
        <w:tc>
          <w:tcPr>
            <w:tcW w:w="913" w:type="pct"/>
            <w:gridSpan w:val="2"/>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Fixed-amount Position Limit (in lots)</w:t>
            </w:r>
          </w:p>
        </w:tc>
        <w:tc>
          <w:tcPr>
            <w:tcW w:w="902" w:type="pct"/>
            <w:gridSpan w:val="2"/>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Fixed-amount Position Limit (in lots)</w:t>
            </w:r>
          </w:p>
        </w:tc>
      </w:tr>
      <w:tr w:rsidR="00B70449" w:rsidTr="00943697">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538" w:type="pct"/>
            <w:vMerge/>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660" w:type="pct"/>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FF Member</w:t>
            </w:r>
          </w:p>
        </w:tc>
        <w:tc>
          <w:tcPr>
            <w:tcW w:w="682" w:type="pct"/>
            <w:vMerge/>
            <w:tcBorders>
              <w:top w:val="single" w:sz="6" w:space="0" w:color="auto"/>
              <w:left w:val="single" w:sz="4"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379" w:type="pct"/>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Non-FF Member</w:t>
            </w:r>
          </w:p>
        </w:tc>
        <w:tc>
          <w:tcPr>
            <w:tcW w:w="418" w:type="pc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Client</w:t>
            </w:r>
          </w:p>
        </w:tc>
        <w:tc>
          <w:tcPr>
            <w:tcW w:w="493" w:type="pct"/>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Non-FF Member</w:t>
            </w:r>
          </w:p>
        </w:tc>
        <w:tc>
          <w:tcPr>
            <w:tcW w:w="420" w:type="pc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Client</w:t>
            </w:r>
          </w:p>
        </w:tc>
        <w:tc>
          <w:tcPr>
            <w:tcW w:w="484" w:type="pct"/>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sz w:val="20"/>
                <w:szCs w:val="20"/>
              </w:rPr>
              <w:t>Non-FF Member</w:t>
            </w:r>
          </w:p>
        </w:tc>
        <w:tc>
          <w:tcPr>
            <w:tcW w:w="418" w:type="pc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Client</w:t>
            </w:r>
          </w:p>
        </w:tc>
      </w:tr>
      <w:tr w:rsidR="00B70449" w:rsidTr="00943697">
        <w:trPr>
          <w:cantSplit/>
          <w:trHeight w:val="20"/>
        </w:trPr>
        <w:tc>
          <w:tcPr>
            <w:tcW w:w="508" w:type="pct"/>
            <w:vMerge w:val="restar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Wire rod</w:t>
            </w:r>
          </w:p>
        </w:tc>
        <w:tc>
          <w:tcPr>
            <w:tcW w:w="538" w:type="pct"/>
            <w:vMerge w:val="restart"/>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 225,000</w:t>
            </w:r>
          </w:p>
        </w:tc>
        <w:tc>
          <w:tcPr>
            <w:tcW w:w="660" w:type="pct"/>
            <w:vMerge w:val="restart"/>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25</w:t>
            </w:r>
          </w:p>
        </w:tc>
        <w:tc>
          <w:tcPr>
            <w:tcW w:w="682" w:type="pct"/>
            <w:tcBorders>
              <w:top w:val="single" w:sz="6" w:space="0" w:color="auto"/>
              <w:left w:val="single" w:sz="4"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 225,000</w:t>
            </w:r>
          </w:p>
        </w:tc>
        <w:tc>
          <w:tcPr>
            <w:tcW w:w="379" w:type="pct"/>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10</w:t>
            </w:r>
          </w:p>
        </w:tc>
        <w:tc>
          <w:tcPr>
            <w:tcW w:w="418" w:type="pc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10</w:t>
            </w:r>
          </w:p>
        </w:tc>
        <w:tc>
          <w:tcPr>
            <w:tcW w:w="493" w:type="pct"/>
            <w:vMerge w:val="restart"/>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1,800</w:t>
            </w:r>
          </w:p>
        </w:tc>
        <w:tc>
          <w:tcPr>
            <w:tcW w:w="420" w:type="pct"/>
            <w:vMerge w:val="restar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1,800</w:t>
            </w:r>
          </w:p>
        </w:tc>
        <w:tc>
          <w:tcPr>
            <w:tcW w:w="484" w:type="pct"/>
            <w:vMerge w:val="restart"/>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360</w:t>
            </w:r>
          </w:p>
        </w:tc>
        <w:tc>
          <w:tcPr>
            <w:tcW w:w="418" w:type="pct"/>
            <w:vMerge w:val="restar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360</w:t>
            </w:r>
          </w:p>
        </w:tc>
      </w:tr>
      <w:tr w:rsidR="00B70449" w:rsidTr="00943697">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538" w:type="pct"/>
            <w:vMerge/>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660" w:type="pct"/>
            <w:vMerge/>
            <w:tcBorders>
              <w:top w:val="single" w:sz="6" w:space="0" w:color="auto"/>
              <w:left w:val="single" w:sz="6"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682" w:type="pct"/>
            <w:tcBorders>
              <w:top w:val="single" w:sz="6" w:space="0" w:color="auto"/>
              <w:left w:val="single" w:sz="4" w:space="0" w:color="auto"/>
              <w:bottom w:val="single" w:sz="6" w:space="0" w:color="auto"/>
              <w:right w:val="single" w:sz="4"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&lt; 225,000</w:t>
            </w:r>
          </w:p>
        </w:tc>
        <w:tc>
          <w:tcPr>
            <w:tcW w:w="379" w:type="pct"/>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22,500</w:t>
            </w:r>
          </w:p>
        </w:tc>
        <w:tc>
          <w:tcPr>
            <w:tcW w:w="418" w:type="pct"/>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r>
              <w:rPr>
                <w:bCs/>
                <w:sz w:val="20"/>
                <w:szCs w:val="20"/>
              </w:rPr>
              <w:t>22,500</w:t>
            </w:r>
          </w:p>
        </w:tc>
        <w:tc>
          <w:tcPr>
            <w:tcW w:w="493" w:type="pct"/>
            <w:vMerge/>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420" w:type="pct"/>
            <w:vMerge/>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484" w:type="pct"/>
            <w:vMerge/>
            <w:tcBorders>
              <w:top w:val="single" w:sz="6" w:space="0" w:color="auto"/>
              <w:left w:val="single" w:sz="4"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c>
          <w:tcPr>
            <w:tcW w:w="418" w:type="pct"/>
            <w:vMerge/>
            <w:tcBorders>
              <w:top w:val="single" w:sz="6" w:space="0" w:color="auto"/>
              <w:left w:val="single" w:sz="6" w:space="0" w:color="auto"/>
              <w:bottom w:val="single" w:sz="6" w:space="0" w:color="auto"/>
              <w:right w:val="single" w:sz="6" w:space="0" w:color="auto"/>
            </w:tcBorders>
            <w:vAlign w:val="center"/>
          </w:tcPr>
          <w:p w:rsidR="00B70449" w:rsidRDefault="00B70449" w:rsidP="00943697">
            <w:pPr>
              <w:tabs>
                <w:tab w:val="left" w:pos="1204"/>
              </w:tabs>
              <w:adjustRightInd w:val="0"/>
              <w:snapToGrid w:val="0"/>
              <w:spacing w:before="60" w:after="60"/>
              <w:jc w:val="center"/>
              <w:rPr>
                <w:bCs/>
                <w:sz w:val="20"/>
                <w:szCs w:val="20"/>
              </w:rPr>
            </w:pPr>
          </w:p>
        </w:tc>
      </w:tr>
    </w:tbl>
    <w:p w:rsidR="00B70449" w:rsidRDefault="00B70449" w:rsidP="00B70449">
      <w:pPr>
        <w:tabs>
          <w:tab w:val="left" w:pos="1204"/>
        </w:tabs>
        <w:adjustRightInd w:val="0"/>
        <w:snapToGrid w:val="0"/>
        <w:spacing w:afterLines="100" w:after="312" w:line="259"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rsidR="00B70449" w:rsidRDefault="00B70449" w:rsidP="00B70449">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48</w:t>
      </w:r>
      <w:r>
        <w:rPr>
          <w:bCs/>
          <w:sz w:val="22"/>
          <w:szCs w:val="22"/>
        </w:rPr>
        <w:tab/>
        <w:t>For contracts in wire rod</w:t>
      </w:r>
      <w:r>
        <w:rPr>
          <w:rFonts w:hint="eastAsia"/>
          <w:bCs/>
          <w:sz w:val="22"/>
          <w:szCs w:val="22"/>
        </w:rPr>
        <w:t xml:space="preserve"> </w:t>
      </w:r>
      <w:r>
        <w:rPr>
          <w:bCs/>
          <w:sz w:val="22"/>
          <w:szCs w:val="22"/>
        </w:rPr>
        <w:t xml:space="preserve">futures, by the close of the last trading day of the month prior to the delivery month, </w:t>
      </w:r>
      <w:r>
        <w:rPr>
          <w:bCs/>
          <w:kern w:val="0"/>
          <w:sz w:val="22"/>
          <w:szCs w:val="22"/>
        </w:rPr>
        <w:t xml:space="preserve">each Trader (referring here and hereinafter to a Client, a Non-Futures Firm Member) </w:t>
      </w:r>
      <w:r>
        <w:rPr>
          <w:bCs/>
          <w:sz w:val="22"/>
          <w:szCs w:val="22"/>
        </w:rPr>
        <w:t xml:space="preserve">shall adjust </w:t>
      </w:r>
      <w:r>
        <w:rPr>
          <w:bCs/>
          <w:kern w:val="0"/>
          <w:sz w:val="22"/>
          <w:szCs w:val="22"/>
        </w:rPr>
        <w:t>its general</w:t>
      </w:r>
      <w:r>
        <w:rPr>
          <w:bCs/>
          <w:sz w:val="22"/>
          <w:szCs w:val="22"/>
        </w:rPr>
        <w:t xml:space="preserve"> positions held under </w:t>
      </w:r>
      <w:r>
        <w:rPr>
          <w:rFonts w:hint="eastAsia"/>
          <w:bCs/>
          <w:sz w:val="22"/>
          <w:szCs w:val="22"/>
        </w:rPr>
        <w:t>its</w:t>
      </w:r>
      <w:r>
        <w:rPr>
          <w:bCs/>
          <w:sz w:val="22"/>
          <w:szCs w:val="22"/>
        </w:rPr>
        <w:t xml:space="preserve"> trading code, to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and a one-day delay is allowed under special market conditions; in the delivery month, the </w:t>
      </w:r>
      <w:r>
        <w:rPr>
          <w:bCs/>
          <w:kern w:val="0"/>
          <w:sz w:val="22"/>
          <w:szCs w:val="22"/>
        </w:rPr>
        <w:t>general</w:t>
      </w:r>
      <w:r>
        <w:rPr>
          <w:bCs/>
          <w:sz w:val="22"/>
          <w:szCs w:val="22"/>
        </w:rPr>
        <w:t xml:space="preserve"> positions as well as newly opened and closed-out positions shall be held in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w:t>
      </w:r>
    </w:p>
    <w:p w:rsidR="00B70449" w:rsidRDefault="00B70449" w:rsidP="00B70449">
      <w:pPr>
        <w:tabs>
          <w:tab w:val="left" w:pos="1204"/>
        </w:tabs>
        <w:adjustRightInd w:val="0"/>
        <w:snapToGrid w:val="0"/>
        <w:spacing w:afterLines="100" w:after="312" w:line="276" w:lineRule="auto"/>
        <w:jc w:val="left"/>
        <w:rPr>
          <w:bCs/>
          <w:sz w:val="22"/>
          <w:szCs w:val="22"/>
        </w:rPr>
      </w:pPr>
      <w:bookmarkStart w:id="3" w:name="_Toc573966"/>
      <w:bookmarkStart w:id="4" w:name="_GoBack"/>
      <w:bookmarkEnd w:id="4"/>
      <w:r>
        <w:rPr>
          <w:b/>
          <w:sz w:val="22"/>
          <w:szCs w:val="22"/>
        </w:rPr>
        <w:lastRenderedPageBreak/>
        <w:t xml:space="preserve">Article </w:t>
      </w:r>
      <w:r>
        <w:rPr>
          <w:rFonts w:hint="eastAsia"/>
          <w:b/>
          <w:sz w:val="22"/>
          <w:szCs w:val="22"/>
        </w:rPr>
        <w:t>49</w:t>
      </w:r>
      <w:r>
        <w:rPr>
          <w:bCs/>
          <w:sz w:val="22"/>
          <w:szCs w:val="22"/>
        </w:rPr>
        <w:tab/>
        <w:t>If the Exchange makes a forced position reduction</w:t>
      </w:r>
      <w:r>
        <w:rPr>
          <w:rFonts w:hint="eastAsia"/>
          <w:bCs/>
          <w:sz w:val="22"/>
          <w:szCs w:val="22"/>
        </w:rPr>
        <w:t xml:space="preserve"> to a wire rod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bCs/>
          <w:kern w:val="0"/>
          <w:sz w:val="22"/>
          <w:szCs w:val="22"/>
        </w:rPr>
        <w:t xml:space="preserve"> of a Trader</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rsidR="00B70449" w:rsidRDefault="00B70449" w:rsidP="00B70449">
      <w:pPr>
        <w:tabs>
          <w:tab w:val="left" w:pos="709"/>
        </w:tabs>
        <w:adjustRightInd w:val="0"/>
        <w:snapToGrid w:val="0"/>
        <w:spacing w:afterLines="100" w:after="312" w:line="276"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 xml:space="preserve">The term “amount of unfilled orders subject to the order fill” means the total amount of all the unfilled orders submitted after the close of the base date at the limit price into the central order book by each </w:t>
      </w:r>
      <w:r>
        <w:rPr>
          <w:bCs/>
          <w:kern w:val="0"/>
          <w:sz w:val="22"/>
          <w:szCs w:val="22"/>
        </w:rPr>
        <w:t xml:space="preserve">Trader </w:t>
      </w:r>
      <w:r>
        <w:rPr>
          <w:bCs/>
          <w:sz w:val="22"/>
          <w:szCs w:val="22"/>
        </w:rPr>
        <w:t>who has incurred losses on net positions in the contract of an average level of no less than six percent (6%)</w:t>
      </w:r>
      <w:r>
        <w:rPr>
          <w:rFonts w:hint="eastAsia"/>
          <w:bCs/>
          <w:sz w:val="22"/>
          <w:szCs w:val="22"/>
        </w:rPr>
        <w:t xml:space="preserve"> for wire rod</w:t>
      </w:r>
      <w:r>
        <w:rPr>
          <w:bCs/>
          <w:sz w:val="22"/>
          <w:szCs w:val="22"/>
        </w:rPr>
        <w:t xml:space="preserve"> futures contracts, of the settlement price of the base date.</w:t>
      </w:r>
    </w:p>
    <w:p w:rsidR="00B70449" w:rsidRDefault="00B70449" w:rsidP="00B70449">
      <w:pPr>
        <w:tabs>
          <w:tab w:val="left" w:pos="709"/>
        </w:tabs>
        <w:adjustRightInd w:val="0"/>
        <w:snapToGrid w:val="0"/>
        <w:spacing w:afterLines="100" w:after="312"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of a Trader. </w:t>
      </w:r>
      <w:r>
        <w:rPr>
          <w:bCs/>
          <w:sz w:val="22"/>
          <w:szCs w:val="22"/>
        </w:rPr>
        <w:t>The positions eligible to fill the unfilled orders include the net positions, on which the</w:t>
      </w:r>
      <w:r>
        <w:rPr>
          <w:bCs/>
          <w:kern w:val="0"/>
          <w:sz w:val="22"/>
          <w:szCs w:val="22"/>
        </w:rPr>
        <w:t xml:space="preserve"> Trader</w:t>
      </w:r>
      <w:r>
        <w:rPr>
          <w:bCs/>
          <w:sz w:val="22"/>
          <w:szCs w:val="22"/>
        </w:rPr>
        <w:t>, as calculated using the above formula</w:t>
      </w:r>
      <w:r>
        <w:t xml:space="preserve"> </w:t>
      </w:r>
      <w:r>
        <w:rPr>
          <w:bCs/>
          <w:sz w:val="22"/>
          <w:szCs w:val="22"/>
        </w:rPr>
        <w:t>stipulated in the Risk Management Rules of the Shanghai Futures Exchange, records average gains for</w:t>
      </w:r>
      <w:r>
        <w:rPr>
          <w:bCs/>
          <w:kern w:val="0"/>
          <w:sz w:val="22"/>
          <w:szCs w:val="22"/>
        </w:rPr>
        <w:t xml:space="preserve"> general</w:t>
      </w:r>
      <w:r>
        <w:rPr>
          <w:bCs/>
          <w:sz w:val="22"/>
          <w:szCs w:val="22"/>
        </w:rPr>
        <w:t xml:space="preserve"> purposes or for hedging purposes at no less than six percent (6%)</w:t>
      </w:r>
      <w:r>
        <w:rPr>
          <w:rFonts w:hint="eastAsia"/>
          <w:bCs/>
          <w:sz w:val="22"/>
          <w:szCs w:val="22"/>
        </w:rPr>
        <w:t xml:space="preserve"> </w:t>
      </w:r>
      <w:r>
        <w:rPr>
          <w:bCs/>
          <w:sz w:val="22"/>
          <w:szCs w:val="22"/>
        </w:rPr>
        <w:t>of the settlement price of the base date.</w:t>
      </w:r>
    </w:p>
    <w:p w:rsidR="00B70449" w:rsidRDefault="00B70449" w:rsidP="00B70449">
      <w:pPr>
        <w:tabs>
          <w:tab w:val="left" w:pos="709"/>
        </w:tabs>
        <w:adjustRightInd w:val="0"/>
        <w:snapToGrid w:val="0"/>
        <w:spacing w:afterLines="100" w:after="312" w:line="276"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The order fill of unfilled orders shall take place in the order of the following four levels with regard to the amount of gains and whether such positions are</w:t>
      </w:r>
      <w:r>
        <w:rPr>
          <w:bCs/>
          <w:kern w:val="0"/>
          <w:sz w:val="22"/>
          <w:szCs w:val="22"/>
        </w:rPr>
        <w:t xml:space="preserve"> general</w:t>
      </w:r>
      <w:r>
        <w:rPr>
          <w:bCs/>
          <w:sz w:val="22"/>
          <w:szCs w:val="22"/>
        </w:rPr>
        <w:t xml:space="preserve"> or hedging: </w:t>
      </w:r>
    </w:p>
    <w:p w:rsidR="00B70449" w:rsidRDefault="00B70449" w:rsidP="00B70449">
      <w:pPr>
        <w:tabs>
          <w:tab w:val="left" w:pos="775"/>
        </w:tabs>
        <w:adjustRightInd w:val="0"/>
        <w:snapToGrid w:val="0"/>
        <w:spacing w:afterLines="100" w:after="312" w:line="276" w:lineRule="auto"/>
        <w:jc w:val="left"/>
        <w:rPr>
          <w:bCs/>
          <w:sz w:val="22"/>
          <w:szCs w:val="22"/>
        </w:rPr>
      </w:pPr>
      <w:r>
        <w:rPr>
          <w:bCs/>
          <w:sz w:val="22"/>
          <w:szCs w:val="22"/>
        </w:rPr>
        <w:t>Level 1: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six percent (6%) of the settlement price on the base date for the contracts in</w:t>
      </w:r>
      <w:r>
        <w:rPr>
          <w:rFonts w:hint="eastAsia"/>
          <w:bCs/>
          <w:sz w:val="22"/>
          <w:szCs w:val="22"/>
        </w:rPr>
        <w:t xml:space="preserve"> </w:t>
      </w:r>
      <w:r>
        <w:rPr>
          <w:bCs/>
          <w:sz w:val="22"/>
          <w:szCs w:val="22"/>
        </w:rPr>
        <w:t>wire rod futures</w:t>
      </w:r>
      <w:r>
        <w:rPr>
          <w:rFonts w:hint="eastAsia"/>
          <w:bCs/>
          <w:sz w:val="22"/>
          <w:szCs w:val="22"/>
        </w:rPr>
        <w:t>,</w:t>
      </w:r>
      <w:r>
        <w:rPr>
          <w:bCs/>
          <w:sz w:val="22"/>
          <w:szCs w:val="22"/>
        </w:rPr>
        <w:t xml:space="preserve"> or the</w:t>
      </w:r>
      <w:r>
        <w:rPr>
          <w:bCs/>
          <w:kern w:val="0"/>
          <w:sz w:val="22"/>
          <w:szCs w:val="22"/>
        </w:rPr>
        <w:t xml:space="preserve"> General</w:t>
      </w:r>
      <w:r>
        <w:rPr>
          <w:bCs/>
          <w:sz w:val="22"/>
          <w:szCs w:val="22"/>
        </w:rPr>
        <w:t xml:space="preserve"> Position Gains of Over 6%; </w:t>
      </w:r>
    </w:p>
    <w:p w:rsidR="00B70449" w:rsidRDefault="00B70449" w:rsidP="00B70449">
      <w:pPr>
        <w:tabs>
          <w:tab w:val="left" w:pos="775"/>
        </w:tabs>
        <w:adjustRightInd w:val="0"/>
        <w:snapToGrid w:val="0"/>
        <w:spacing w:afterLines="100" w:after="312" w:line="276" w:lineRule="auto"/>
        <w:jc w:val="left"/>
        <w:rPr>
          <w:bCs/>
          <w:sz w:val="22"/>
          <w:szCs w:val="22"/>
        </w:rPr>
      </w:pPr>
      <w:r>
        <w:rPr>
          <w:bCs/>
          <w:sz w:val="22"/>
          <w:szCs w:val="22"/>
        </w:rPr>
        <w:t>Level 2: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three percent (3%) but no more than six percent (6%) of the settlement price on the base date for contracts with respect to</w:t>
      </w:r>
      <w:r>
        <w:rPr>
          <w:rFonts w:hint="eastAsia"/>
          <w:bCs/>
          <w:sz w:val="22"/>
          <w:szCs w:val="22"/>
        </w:rPr>
        <w:t xml:space="preserve"> </w:t>
      </w:r>
      <w:r>
        <w:rPr>
          <w:bCs/>
          <w:sz w:val="22"/>
          <w:szCs w:val="22"/>
        </w:rPr>
        <w:t xml:space="preserve">wire rod futures, or the </w:t>
      </w:r>
      <w:r>
        <w:rPr>
          <w:bCs/>
          <w:kern w:val="0"/>
          <w:sz w:val="22"/>
          <w:szCs w:val="22"/>
        </w:rPr>
        <w:t>General</w:t>
      </w:r>
      <w:r>
        <w:rPr>
          <w:bCs/>
          <w:sz w:val="22"/>
          <w:szCs w:val="22"/>
        </w:rPr>
        <w:t xml:space="preserve"> Position Gains of Over 3%</w:t>
      </w:r>
      <w:r>
        <w:rPr>
          <w:rFonts w:hint="eastAsia"/>
          <w:bCs/>
          <w:sz w:val="22"/>
          <w:szCs w:val="22"/>
        </w:rPr>
        <w:t>;</w:t>
      </w:r>
    </w:p>
    <w:p w:rsidR="00B70449" w:rsidRDefault="00B70449" w:rsidP="00B70449">
      <w:pPr>
        <w:tabs>
          <w:tab w:val="left" w:pos="775"/>
        </w:tabs>
        <w:adjustRightInd w:val="0"/>
        <w:snapToGrid w:val="0"/>
        <w:spacing w:afterLines="100" w:after="312" w:line="276" w:lineRule="auto"/>
        <w:jc w:val="left"/>
        <w:rPr>
          <w:bCs/>
          <w:sz w:val="22"/>
          <w:szCs w:val="22"/>
        </w:rPr>
      </w:pPr>
      <w:r>
        <w:rPr>
          <w:bCs/>
          <w:sz w:val="22"/>
          <w:szCs w:val="22"/>
        </w:rPr>
        <w:t>Level 3: Unfilled orders shall be filled with the</w:t>
      </w:r>
      <w:r>
        <w:rPr>
          <w:bCs/>
          <w:kern w:val="0"/>
          <w:sz w:val="22"/>
          <w:szCs w:val="22"/>
        </w:rPr>
        <w:t xml:space="preserve"> general</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more than three percent (3%) of the settlement price on the base date for contracts in</w:t>
      </w:r>
      <w:r>
        <w:rPr>
          <w:rFonts w:hint="eastAsia"/>
          <w:bCs/>
          <w:sz w:val="22"/>
          <w:szCs w:val="22"/>
        </w:rPr>
        <w:t xml:space="preserve"> </w:t>
      </w:r>
      <w:r>
        <w:rPr>
          <w:bCs/>
          <w:sz w:val="22"/>
          <w:szCs w:val="22"/>
        </w:rPr>
        <w:t>wire rod futures, or the</w:t>
      </w:r>
      <w:r>
        <w:rPr>
          <w:bCs/>
          <w:kern w:val="0"/>
          <w:sz w:val="22"/>
          <w:szCs w:val="22"/>
        </w:rPr>
        <w:t xml:space="preserve"> General</w:t>
      </w:r>
      <w:r>
        <w:rPr>
          <w:bCs/>
          <w:sz w:val="22"/>
          <w:szCs w:val="22"/>
        </w:rPr>
        <w:t xml:space="preserve"> Position Gains Below 3%; and</w:t>
      </w:r>
    </w:p>
    <w:p w:rsidR="00B70449" w:rsidRDefault="00B70449" w:rsidP="00B70449">
      <w:pPr>
        <w:tabs>
          <w:tab w:val="left" w:pos="775"/>
        </w:tabs>
        <w:adjustRightInd w:val="0"/>
        <w:snapToGrid w:val="0"/>
        <w:spacing w:afterLines="100" w:after="312"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less than six percent (6%) of the settlement price on the base date for contracts in</w:t>
      </w:r>
      <w:r>
        <w:rPr>
          <w:rFonts w:hint="eastAsia"/>
          <w:bCs/>
          <w:sz w:val="22"/>
          <w:szCs w:val="22"/>
        </w:rPr>
        <w:t xml:space="preserve"> </w:t>
      </w:r>
      <w:r>
        <w:rPr>
          <w:bCs/>
          <w:sz w:val="22"/>
          <w:szCs w:val="22"/>
        </w:rPr>
        <w:t>wire rod futures</w:t>
      </w:r>
      <w:r>
        <w:rPr>
          <w:rFonts w:hint="eastAsia"/>
          <w:bCs/>
          <w:sz w:val="22"/>
          <w:szCs w:val="22"/>
        </w:rPr>
        <w:t>,</w:t>
      </w:r>
      <w:r>
        <w:rPr>
          <w:bCs/>
          <w:sz w:val="22"/>
          <w:szCs w:val="22"/>
        </w:rPr>
        <w:t xml:space="preserve"> or the Hedging Position Gains of Over 6%.</w:t>
      </w:r>
    </w:p>
    <w:p w:rsidR="00B70449" w:rsidRDefault="00B70449" w:rsidP="00B70449">
      <w:pPr>
        <w:tabs>
          <w:tab w:val="left" w:pos="709"/>
        </w:tabs>
        <w:adjustRightInd w:val="0"/>
        <w:snapToGrid w:val="0"/>
        <w:spacing w:afterLines="100" w:after="312" w:line="276" w:lineRule="auto"/>
        <w:jc w:val="left"/>
        <w:rPr>
          <w:bCs/>
          <w:sz w:val="22"/>
          <w:szCs w:val="22"/>
        </w:rPr>
      </w:pPr>
      <w:proofErr w:type="gramStart"/>
      <w:r>
        <w:rPr>
          <w:rFonts w:hint="eastAsia"/>
          <w:bCs/>
          <w:sz w:val="22"/>
          <w:szCs w:val="22"/>
        </w:rPr>
        <w:t>(iv)</w:t>
      </w:r>
      <w:r>
        <w:rPr>
          <w:bCs/>
          <w:sz w:val="22"/>
          <w:szCs w:val="22"/>
        </w:rPr>
        <w:tab/>
        <w:t>Methods</w:t>
      </w:r>
      <w:proofErr w:type="gramEnd"/>
      <w:r>
        <w:rPr>
          <w:bCs/>
          <w:sz w:val="22"/>
          <w:szCs w:val="22"/>
        </w:rPr>
        <w:t xml:space="preserve"> for the order fill of unfilled orders</w:t>
      </w:r>
      <w:r>
        <w:rPr>
          <w:rFonts w:hint="eastAsia"/>
          <w:bCs/>
          <w:sz w:val="22"/>
          <w:szCs w:val="22"/>
        </w:rPr>
        <w:t xml:space="preserve">. </w:t>
      </w:r>
      <w:r>
        <w:rPr>
          <w:bCs/>
          <w:sz w:val="22"/>
          <w:szCs w:val="22"/>
        </w:rPr>
        <w:t>If the amount of the</w:t>
      </w:r>
      <w:r>
        <w:rPr>
          <w:bCs/>
          <w:kern w:val="0"/>
          <w:sz w:val="22"/>
          <w:szCs w:val="22"/>
        </w:rPr>
        <w:t xml:space="preserve"> General</w:t>
      </w:r>
      <w:r>
        <w:rPr>
          <w:bCs/>
          <w:sz w:val="22"/>
          <w:szCs w:val="22"/>
        </w:rPr>
        <w:t xml:space="preserve"> Position Gains of Over 6% is greater than or equal to that of the unfilled orders, the unfilled orders shall be filled pro rata to the amount of the</w:t>
      </w:r>
      <w:r>
        <w:rPr>
          <w:bCs/>
          <w:kern w:val="0"/>
          <w:sz w:val="22"/>
          <w:szCs w:val="22"/>
        </w:rPr>
        <w:t xml:space="preserve"> General</w:t>
      </w:r>
      <w:r>
        <w:rPr>
          <w:bCs/>
          <w:sz w:val="22"/>
          <w:szCs w:val="22"/>
        </w:rPr>
        <w:t xml:space="preserve"> Position Gains of Over 6%</w:t>
      </w:r>
      <w:r>
        <w:rPr>
          <w:rFonts w:hint="eastAsia"/>
          <w:bCs/>
          <w:sz w:val="22"/>
          <w:szCs w:val="22"/>
        </w:rPr>
        <w:t>.</w:t>
      </w:r>
      <w:r>
        <w:rPr>
          <w:bCs/>
          <w:sz w:val="22"/>
          <w:szCs w:val="22"/>
        </w:rPr>
        <w:t xml:space="preserve"> If the amount of the</w:t>
      </w:r>
      <w:r>
        <w:rPr>
          <w:bCs/>
          <w:kern w:val="0"/>
          <w:sz w:val="22"/>
          <w:szCs w:val="22"/>
        </w:rPr>
        <w:t xml:space="preserve"> General</w:t>
      </w:r>
      <w:r>
        <w:rPr>
          <w:bCs/>
          <w:sz w:val="22"/>
          <w:szCs w:val="22"/>
        </w:rPr>
        <w:t xml:space="preserve"> Position Gains of Over 6% is smaller than that of the unfilled orders, the</w:t>
      </w:r>
      <w:r>
        <w:rPr>
          <w:bCs/>
          <w:kern w:val="0"/>
          <w:sz w:val="22"/>
          <w:szCs w:val="22"/>
        </w:rPr>
        <w:t xml:space="preserve"> General</w:t>
      </w:r>
      <w:r>
        <w:rPr>
          <w:bCs/>
          <w:sz w:val="22"/>
          <w:szCs w:val="22"/>
        </w:rPr>
        <w:t xml:space="preserve"> Position Gains of Over 6% shall be filled pro rata to the amount of the unfilled orders. The residual unfilled orders, if any, shall be filled with the</w:t>
      </w:r>
      <w:r>
        <w:rPr>
          <w:bCs/>
          <w:kern w:val="0"/>
          <w:sz w:val="22"/>
          <w:szCs w:val="22"/>
        </w:rPr>
        <w:t xml:space="preserve"> General</w:t>
      </w:r>
      <w:r>
        <w:rPr>
          <w:bCs/>
          <w:sz w:val="22"/>
          <w:szCs w:val="22"/>
        </w:rPr>
        <w:t xml:space="preserve"> Positions Gains of </w:t>
      </w:r>
      <w:r>
        <w:rPr>
          <w:bCs/>
          <w:sz w:val="22"/>
          <w:szCs w:val="22"/>
        </w:rPr>
        <w:lastRenderedPageBreak/>
        <w:t>Over 3% in the same manner as the foregoing, and if there are still orders remaining, the outstanding unfilled orders shall be filled to the</w:t>
      </w:r>
      <w:r>
        <w:rPr>
          <w:bCs/>
          <w:kern w:val="0"/>
          <w:sz w:val="22"/>
          <w:szCs w:val="22"/>
        </w:rPr>
        <w:t xml:space="preserve"> General</w:t>
      </w:r>
      <w:r>
        <w:rPr>
          <w:bCs/>
          <w:sz w:val="22"/>
          <w:szCs w:val="22"/>
        </w:rPr>
        <w:t xml:space="preserve"> Position Gains of Below 3%, and so to the Hedging Position Gains of Over 6%. Unfilled orders which eventually remain after all the order fills described above, if any, shall not be filled at all.</w:t>
      </w:r>
    </w:p>
    <w:p w:rsidR="00B70449" w:rsidRDefault="00B70449" w:rsidP="00B70449">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5</w:t>
      </w:r>
      <w:r>
        <w:rPr>
          <w:b/>
          <w:sz w:val="22"/>
          <w:szCs w:val="22"/>
        </w:rPr>
        <w:tab/>
        <w:t>MISCELLANEOUS</w:t>
      </w:r>
    </w:p>
    <w:bookmarkEnd w:id="3"/>
    <w:p w:rsidR="00B70449" w:rsidRDefault="00B70449" w:rsidP="00B70449">
      <w:pPr>
        <w:tabs>
          <w:tab w:val="left" w:pos="775"/>
        </w:tabs>
        <w:adjustRightInd w:val="0"/>
        <w:snapToGrid w:val="0"/>
        <w:spacing w:afterLines="100" w:after="312" w:line="259" w:lineRule="auto"/>
        <w:jc w:val="left"/>
        <w:rPr>
          <w:bCs/>
          <w:iCs/>
          <w:sz w:val="22"/>
          <w:szCs w:val="22"/>
        </w:rPr>
      </w:pPr>
      <w:r>
        <w:rPr>
          <w:b/>
          <w:bCs/>
          <w:sz w:val="22"/>
          <w:szCs w:val="22"/>
        </w:rPr>
        <w:t xml:space="preserve">Article </w:t>
      </w:r>
      <w:r>
        <w:rPr>
          <w:rFonts w:hint="eastAsia"/>
          <w:b/>
          <w:bCs/>
          <w:sz w:val="22"/>
          <w:szCs w:val="22"/>
        </w:rPr>
        <w:t>50</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rsidR="00B70449" w:rsidRDefault="00B70449" w:rsidP="00B70449">
      <w:pPr>
        <w:tabs>
          <w:tab w:val="left" w:pos="775"/>
        </w:tabs>
        <w:adjustRightInd w:val="0"/>
        <w:snapToGrid w:val="0"/>
        <w:spacing w:afterLines="100" w:after="312" w:line="259" w:lineRule="auto"/>
        <w:jc w:val="left"/>
        <w:rPr>
          <w:bCs/>
          <w:sz w:val="22"/>
          <w:szCs w:val="22"/>
        </w:rPr>
      </w:pPr>
      <w:r>
        <w:rPr>
          <w:b/>
          <w:bCs/>
          <w:sz w:val="22"/>
          <w:szCs w:val="22"/>
        </w:rPr>
        <w:t xml:space="preserve">Article </w:t>
      </w:r>
      <w:r>
        <w:rPr>
          <w:rFonts w:hint="eastAsia"/>
          <w:b/>
          <w:bCs/>
          <w:sz w:val="22"/>
          <w:szCs w:val="22"/>
        </w:rPr>
        <w:t>51</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Wire </w:t>
      </w:r>
      <w:r>
        <w:rPr>
          <w:rFonts w:hint="eastAsia"/>
          <w:i/>
          <w:sz w:val="22"/>
          <w:szCs w:val="22"/>
        </w:rPr>
        <w:t>R</w:t>
      </w:r>
      <w:r>
        <w:rPr>
          <w:i/>
          <w:sz w:val="22"/>
          <w:szCs w:val="22"/>
        </w:rPr>
        <w:t>od Futures Rules</w:t>
      </w:r>
      <w:r>
        <w:rPr>
          <w:rFonts w:eastAsia="等线"/>
          <w:i/>
          <w:iCs/>
          <w:snapToGrid w:val="0"/>
          <w:kern w:val="22"/>
          <w:sz w:val="22"/>
        </w:rPr>
        <w:t xml:space="preserve"> </w:t>
      </w:r>
      <w:bookmarkStart w:id="5" w:name="_Hlk172624163"/>
      <w:r>
        <w:rPr>
          <w:rFonts w:hint="eastAsia"/>
          <w:sz w:val="22"/>
        </w:rPr>
        <w:t>will be handled by the Exchange in accordance with</w:t>
      </w:r>
      <w:bookmarkEnd w:id="5"/>
      <w:r>
        <w:rPr>
          <w:rFonts w:hint="eastAsia"/>
          <w:sz w:val="22"/>
        </w:rPr>
        <w:t xml:space="preserve"> the </w:t>
      </w:r>
      <w:r>
        <w:rPr>
          <w:rFonts w:hint="eastAsia"/>
          <w:i/>
          <w:iCs/>
          <w:sz w:val="22"/>
        </w:rPr>
        <w:t>Enforcement Rules of the Shanghai Futures Exchange</w:t>
      </w:r>
      <w:r>
        <w:rPr>
          <w:rFonts w:hint="eastAsia"/>
          <w:sz w:val="22"/>
        </w:rPr>
        <w:t>.</w:t>
      </w:r>
    </w:p>
    <w:p w:rsidR="00B70449" w:rsidRDefault="00B70449" w:rsidP="00B70449">
      <w:pPr>
        <w:tabs>
          <w:tab w:val="left" w:pos="775"/>
        </w:tabs>
        <w:adjustRightInd w:val="0"/>
        <w:snapToGrid w:val="0"/>
        <w:spacing w:afterLines="100" w:after="312" w:line="259" w:lineRule="auto"/>
        <w:jc w:val="left"/>
        <w:rPr>
          <w:bCs/>
          <w:sz w:val="22"/>
          <w:szCs w:val="22"/>
        </w:rPr>
      </w:pPr>
      <w:r>
        <w:rPr>
          <w:b/>
          <w:bCs/>
          <w:sz w:val="22"/>
          <w:szCs w:val="22"/>
        </w:rPr>
        <w:t xml:space="preserve">Article </w:t>
      </w:r>
      <w:r>
        <w:rPr>
          <w:rFonts w:hint="eastAsia"/>
          <w:b/>
          <w:bCs/>
          <w:sz w:val="22"/>
          <w:szCs w:val="22"/>
        </w:rPr>
        <w:t>52</w:t>
      </w:r>
      <w:r>
        <w:rPr>
          <w:bCs/>
          <w:sz w:val="22"/>
          <w:szCs w:val="22"/>
        </w:rPr>
        <w:tab/>
        <w:t xml:space="preserve">The Exchange reserves the right to interpret these </w:t>
      </w:r>
      <w:r>
        <w:rPr>
          <w:i/>
          <w:sz w:val="22"/>
          <w:szCs w:val="22"/>
        </w:rPr>
        <w:t xml:space="preserve">Wire </w:t>
      </w:r>
      <w:r>
        <w:rPr>
          <w:rFonts w:hint="eastAsia"/>
          <w:i/>
          <w:sz w:val="22"/>
          <w:szCs w:val="22"/>
        </w:rPr>
        <w:t>R</w:t>
      </w:r>
      <w:r>
        <w:rPr>
          <w:i/>
          <w:sz w:val="22"/>
          <w:szCs w:val="22"/>
        </w:rPr>
        <w:t>od Futures Rules</w:t>
      </w:r>
      <w:r>
        <w:rPr>
          <w:bCs/>
          <w:sz w:val="22"/>
          <w:szCs w:val="22"/>
        </w:rPr>
        <w:t>.</w:t>
      </w:r>
    </w:p>
    <w:p w:rsidR="00B70449" w:rsidRDefault="00B70449" w:rsidP="00B70449">
      <w:pPr>
        <w:tabs>
          <w:tab w:val="left" w:pos="775"/>
        </w:tabs>
        <w:adjustRightInd w:val="0"/>
        <w:snapToGrid w:val="0"/>
        <w:spacing w:afterLines="100" w:after="312" w:line="259" w:lineRule="auto"/>
        <w:jc w:val="left"/>
        <w:rPr>
          <w:bCs/>
          <w:sz w:val="22"/>
          <w:szCs w:val="22"/>
        </w:rPr>
      </w:pPr>
      <w:r>
        <w:rPr>
          <w:b/>
          <w:bCs/>
          <w:sz w:val="22"/>
          <w:szCs w:val="22"/>
        </w:rPr>
        <w:t xml:space="preserve">Article </w:t>
      </w:r>
      <w:r>
        <w:rPr>
          <w:rFonts w:hint="eastAsia"/>
          <w:b/>
          <w:bCs/>
          <w:sz w:val="22"/>
          <w:szCs w:val="22"/>
        </w:rPr>
        <w:t>53</w:t>
      </w:r>
      <w:r>
        <w:rPr>
          <w:bCs/>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bCs/>
          <w:sz w:val="22"/>
          <w:szCs w:val="22"/>
        </w:rPr>
        <w:t xml:space="preserve"> </w:t>
      </w:r>
      <w:r>
        <w:rPr>
          <w:rFonts w:hint="eastAsia"/>
          <w:bCs/>
          <w:sz w:val="22"/>
          <w:szCs w:val="22"/>
        </w:rPr>
        <w:t xml:space="preserve">take effect on </w:t>
      </w:r>
      <w:r w:rsidR="003B6B2A">
        <w:rPr>
          <w:rFonts w:eastAsia="仿宋_GB2312"/>
          <w:kern w:val="0"/>
          <w:sz w:val="22"/>
        </w:rPr>
        <w:t>August 8,</w:t>
      </w:r>
      <w:r w:rsidR="003B6B2A">
        <w:rPr>
          <w:rFonts w:eastAsia="仿宋_GB2312" w:hint="eastAsia"/>
          <w:kern w:val="0"/>
          <w:sz w:val="22"/>
        </w:rPr>
        <w:t xml:space="preserve"> </w:t>
      </w:r>
      <w:r w:rsidR="00664BD0">
        <w:rPr>
          <w:rFonts w:eastAsia="仿宋_GB2312"/>
          <w:kern w:val="0"/>
          <w:sz w:val="22"/>
        </w:rPr>
        <w:t>2025</w:t>
      </w:r>
      <w:r>
        <w:rPr>
          <w:rFonts w:hint="eastAsia"/>
          <w:bCs/>
          <w:sz w:val="22"/>
          <w:szCs w:val="22"/>
        </w:rPr>
        <w:t>.</w:t>
      </w:r>
    </w:p>
    <w:p w:rsidR="00B70449" w:rsidRDefault="00B70449" w:rsidP="00B70449">
      <w:pPr>
        <w:widowControl/>
        <w:adjustRightInd w:val="0"/>
        <w:snapToGrid w:val="0"/>
        <w:spacing w:afterLines="100" w:after="312" w:line="276" w:lineRule="auto"/>
        <w:jc w:val="center"/>
        <w:rPr>
          <w:bCs/>
          <w:sz w:val="22"/>
          <w:szCs w:val="22"/>
        </w:rPr>
      </w:pPr>
    </w:p>
    <w:p w:rsidR="00BD6AE1" w:rsidRPr="003B6B2A" w:rsidRDefault="00BD6AE1" w:rsidP="00B70449"/>
    <w:sectPr w:rsidR="00BD6AE1" w:rsidRPr="003B6B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A2" w:rsidRDefault="00300AA2">
      <w:r>
        <w:separator/>
      </w:r>
    </w:p>
  </w:endnote>
  <w:endnote w:type="continuationSeparator" w:id="0">
    <w:p w:rsidR="00300AA2" w:rsidRDefault="0030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148726"/>
    </w:sdtPr>
    <w:sdtEndPr>
      <w:rPr>
        <w:sz w:val="20"/>
        <w:szCs w:val="20"/>
      </w:rPr>
    </w:sdtEndPr>
    <w:sdtContent>
      <w:p w:rsidR="00BD6AE1" w:rsidRDefault="00B07494">
        <w:pPr>
          <w:pStyle w:val="a6"/>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670B3A" w:rsidRPr="00670B3A">
          <w:rPr>
            <w:noProof/>
            <w:sz w:val="20"/>
            <w:szCs w:val="20"/>
            <w:lang w:val="zh-CN"/>
          </w:rPr>
          <w:t>9</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A2" w:rsidRDefault="00300AA2">
      <w:r>
        <w:separator/>
      </w:r>
    </w:p>
  </w:footnote>
  <w:footnote w:type="continuationSeparator" w:id="0">
    <w:p w:rsidR="00300AA2" w:rsidRDefault="0030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563F"/>
    <w:rsid w:val="000164BC"/>
    <w:rsid w:val="00030817"/>
    <w:rsid w:val="000438F1"/>
    <w:rsid w:val="00052591"/>
    <w:rsid w:val="00057471"/>
    <w:rsid w:val="00061493"/>
    <w:rsid w:val="00072052"/>
    <w:rsid w:val="00097DF9"/>
    <w:rsid w:val="000A2952"/>
    <w:rsid w:val="000C5C46"/>
    <w:rsid w:val="000C7E93"/>
    <w:rsid w:val="000E1A68"/>
    <w:rsid w:val="00125B68"/>
    <w:rsid w:val="0012777F"/>
    <w:rsid w:val="001321C9"/>
    <w:rsid w:val="00134FBB"/>
    <w:rsid w:val="001406B0"/>
    <w:rsid w:val="001623B5"/>
    <w:rsid w:val="00175CD6"/>
    <w:rsid w:val="00175E89"/>
    <w:rsid w:val="00196366"/>
    <w:rsid w:val="001A62C4"/>
    <w:rsid w:val="001B65D3"/>
    <w:rsid w:val="001C34CE"/>
    <w:rsid w:val="001E254B"/>
    <w:rsid w:val="001F2F57"/>
    <w:rsid w:val="00200EE9"/>
    <w:rsid w:val="002116AB"/>
    <w:rsid w:val="00212A10"/>
    <w:rsid w:val="002265A1"/>
    <w:rsid w:val="00226D33"/>
    <w:rsid w:val="002341AB"/>
    <w:rsid w:val="0027521C"/>
    <w:rsid w:val="0029383D"/>
    <w:rsid w:val="002A5A2A"/>
    <w:rsid w:val="002A7F6E"/>
    <w:rsid w:val="002B0829"/>
    <w:rsid w:val="002B241E"/>
    <w:rsid w:val="002B5D4F"/>
    <w:rsid w:val="002B647D"/>
    <w:rsid w:val="002C4740"/>
    <w:rsid w:val="002C5301"/>
    <w:rsid w:val="002D503B"/>
    <w:rsid w:val="002E42C5"/>
    <w:rsid w:val="002F76A3"/>
    <w:rsid w:val="00300AA2"/>
    <w:rsid w:val="0032403F"/>
    <w:rsid w:val="003333DE"/>
    <w:rsid w:val="0034677C"/>
    <w:rsid w:val="00347696"/>
    <w:rsid w:val="00356DCC"/>
    <w:rsid w:val="003647AB"/>
    <w:rsid w:val="00382D64"/>
    <w:rsid w:val="00394963"/>
    <w:rsid w:val="003B6B2A"/>
    <w:rsid w:val="003C12E0"/>
    <w:rsid w:val="003C4E05"/>
    <w:rsid w:val="003D6543"/>
    <w:rsid w:val="003E6BE0"/>
    <w:rsid w:val="00406A0A"/>
    <w:rsid w:val="00407182"/>
    <w:rsid w:val="00413381"/>
    <w:rsid w:val="004161A6"/>
    <w:rsid w:val="004218E5"/>
    <w:rsid w:val="004229D6"/>
    <w:rsid w:val="004257F7"/>
    <w:rsid w:val="00426FDD"/>
    <w:rsid w:val="00431FED"/>
    <w:rsid w:val="00442E13"/>
    <w:rsid w:val="00446526"/>
    <w:rsid w:val="00462F25"/>
    <w:rsid w:val="00474C7A"/>
    <w:rsid w:val="004A2F0F"/>
    <w:rsid w:val="004A3DF3"/>
    <w:rsid w:val="004A4798"/>
    <w:rsid w:val="004A4C8B"/>
    <w:rsid w:val="004A5903"/>
    <w:rsid w:val="004B138F"/>
    <w:rsid w:val="004B568D"/>
    <w:rsid w:val="004E05B4"/>
    <w:rsid w:val="004E1AD1"/>
    <w:rsid w:val="004E54F2"/>
    <w:rsid w:val="004E686D"/>
    <w:rsid w:val="004F0D9A"/>
    <w:rsid w:val="004F1CA2"/>
    <w:rsid w:val="0050138C"/>
    <w:rsid w:val="005323C9"/>
    <w:rsid w:val="00535440"/>
    <w:rsid w:val="005568FA"/>
    <w:rsid w:val="005653A1"/>
    <w:rsid w:val="00572351"/>
    <w:rsid w:val="00575304"/>
    <w:rsid w:val="00576F5E"/>
    <w:rsid w:val="00583AB9"/>
    <w:rsid w:val="005B4627"/>
    <w:rsid w:val="005B4DD4"/>
    <w:rsid w:val="005C7779"/>
    <w:rsid w:val="005D36F3"/>
    <w:rsid w:val="005E1B65"/>
    <w:rsid w:val="005F24F3"/>
    <w:rsid w:val="005F5291"/>
    <w:rsid w:val="00623160"/>
    <w:rsid w:val="00627731"/>
    <w:rsid w:val="00655DCD"/>
    <w:rsid w:val="00664BD0"/>
    <w:rsid w:val="00670B3A"/>
    <w:rsid w:val="0067124E"/>
    <w:rsid w:val="00691F80"/>
    <w:rsid w:val="006B033B"/>
    <w:rsid w:val="006B3939"/>
    <w:rsid w:val="006B4CB0"/>
    <w:rsid w:val="006C1A29"/>
    <w:rsid w:val="006C6297"/>
    <w:rsid w:val="006D4B63"/>
    <w:rsid w:val="006E6777"/>
    <w:rsid w:val="007129CB"/>
    <w:rsid w:val="0071379A"/>
    <w:rsid w:val="00730EF7"/>
    <w:rsid w:val="00731A3E"/>
    <w:rsid w:val="00740C24"/>
    <w:rsid w:val="00744565"/>
    <w:rsid w:val="00796077"/>
    <w:rsid w:val="007B10E6"/>
    <w:rsid w:val="007C67E1"/>
    <w:rsid w:val="007E1D77"/>
    <w:rsid w:val="007F6069"/>
    <w:rsid w:val="00800E31"/>
    <w:rsid w:val="00806085"/>
    <w:rsid w:val="008307AA"/>
    <w:rsid w:val="00843795"/>
    <w:rsid w:val="00844008"/>
    <w:rsid w:val="0086131A"/>
    <w:rsid w:val="00870292"/>
    <w:rsid w:val="00870FCF"/>
    <w:rsid w:val="008A6D45"/>
    <w:rsid w:val="008B1B03"/>
    <w:rsid w:val="008B6AD6"/>
    <w:rsid w:val="008D4C4F"/>
    <w:rsid w:val="008E0BB1"/>
    <w:rsid w:val="008E690C"/>
    <w:rsid w:val="009021DB"/>
    <w:rsid w:val="00902FE8"/>
    <w:rsid w:val="00904619"/>
    <w:rsid w:val="009401DF"/>
    <w:rsid w:val="00940ACF"/>
    <w:rsid w:val="009442F4"/>
    <w:rsid w:val="00945A0C"/>
    <w:rsid w:val="009505B2"/>
    <w:rsid w:val="00952064"/>
    <w:rsid w:val="009520AE"/>
    <w:rsid w:val="009577BE"/>
    <w:rsid w:val="00960A57"/>
    <w:rsid w:val="009700B9"/>
    <w:rsid w:val="009757C8"/>
    <w:rsid w:val="00980968"/>
    <w:rsid w:val="009810DD"/>
    <w:rsid w:val="00997E1E"/>
    <w:rsid w:val="009A0743"/>
    <w:rsid w:val="009C0558"/>
    <w:rsid w:val="009C7D54"/>
    <w:rsid w:val="009F3255"/>
    <w:rsid w:val="00A13328"/>
    <w:rsid w:val="00A201E7"/>
    <w:rsid w:val="00A25445"/>
    <w:rsid w:val="00A25643"/>
    <w:rsid w:val="00A51C94"/>
    <w:rsid w:val="00A60356"/>
    <w:rsid w:val="00A66DEF"/>
    <w:rsid w:val="00A86874"/>
    <w:rsid w:val="00A96F75"/>
    <w:rsid w:val="00AB370C"/>
    <w:rsid w:val="00AC6CCB"/>
    <w:rsid w:val="00AD158B"/>
    <w:rsid w:val="00AD4023"/>
    <w:rsid w:val="00AD7617"/>
    <w:rsid w:val="00AF51EF"/>
    <w:rsid w:val="00B05811"/>
    <w:rsid w:val="00B07494"/>
    <w:rsid w:val="00B14CC7"/>
    <w:rsid w:val="00B25253"/>
    <w:rsid w:val="00B2706B"/>
    <w:rsid w:val="00B32A0C"/>
    <w:rsid w:val="00B45AA6"/>
    <w:rsid w:val="00B51034"/>
    <w:rsid w:val="00B70449"/>
    <w:rsid w:val="00B9208B"/>
    <w:rsid w:val="00BB2A09"/>
    <w:rsid w:val="00BB2B1E"/>
    <w:rsid w:val="00BB37F4"/>
    <w:rsid w:val="00BC03BD"/>
    <w:rsid w:val="00BD6AE1"/>
    <w:rsid w:val="00C106CF"/>
    <w:rsid w:val="00C141C4"/>
    <w:rsid w:val="00C14E7F"/>
    <w:rsid w:val="00C230F6"/>
    <w:rsid w:val="00C243C9"/>
    <w:rsid w:val="00C32B19"/>
    <w:rsid w:val="00C43621"/>
    <w:rsid w:val="00C72E22"/>
    <w:rsid w:val="00C75161"/>
    <w:rsid w:val="00C948ED"/>
    <w:rsid w:val="00CC1932"/>
    <w:rsid w:val="00CD378D"/>
    <w:rsid w:val="00CE0ED1"/>
    <w:rsid w:val="00D23B88"/>
    <w:rsid w:val="00D240E2"/>
    <w:rsid w:val="00D33777"/>
    <w:rsid w:val="00D602AB"/>
    <w:rsid w:val="00D66F17"/>
    <w:rsid w:val="00DB3D99"/>
    <w:rsid w:val="00DC594F"/>
    <w:rsid w:val="00DD4C23"/>
    <w:rsid w:val="00DE2C97"/>
    <w:rsid w:val="00DF0DBE"/>
    <w:rsid w:val="00E22176"/>
    <w:rsid w:val="00E23361"/>
    <w:rsid w:val="00E257AE"/>
    <w:rsid w:val="00E369E7"/>
    <w:rsid w:val="00E57F05"/>
    <w:rsid w:val="00E606B2"/>
    <w:rsid w:val="00E710E9"/>
    <w:rsid w:val="00E75CEE"/>
    <w:rsid w:val="00E93D15"/>
    <w:rsid w:val="00EC45A4"/>
    <w:rsid w:val="00ED0E75"/>
    <w:rsid w:val="00ED68CF"/>
    <w:rsid w:val="00EF2E2B"/>
    <w:rsid w:val="00F05C18"/>
    <w:rsid w:val="00F2236C"/>
    <w:rsid w:val="00F234F2"/>
    <w:rsid w:val="00F31647"/>
    <w:rsid w:val="00F6262B"/>
    <w:rsid w:val="00F63665"/>
    <w:rsid w:val="00F7531B"/>
    <w:rsid w:val="00F91936"/>
    <w:rsid w:val="00F93B80"/>
    <w:rsid w:val="00FC00A3"/>
    <w:rsid w:val="00FC2DFC"/>
    <w:rsid w:val="00FC3BA8"/>
    <w:rsid w:val="00FC5686"/>
    <w:rsid w:val="00FC67DC"/>
    <w:rsid w:val="1AC03002"/>
    <w:rsid w:val="33F716CE"/>
    <w:rsid w:val="43D62B0A"/>
    <w:rsid w:val="64383C98"/>
    <w:rsid w:val="79D4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03B54-84AC-43EA-B6CE-4D544F1D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pPr>
      <w:widowControl w:val="0"/>
      <w:spacing w:after="0"/>
    </w:pPr>
    <w:rPr>
      <w:rFonts w:ascii="Times New Roman" w:eastAsia="宋体" w:hAnsi="Times New Roman" w:cs="Times New Roman"/>
      <w:b/>
      <w:bCs/>
      <w:kern w:val="2"/>
      <w:sz w:val="21"/>
      <w:szCs w:val="21"/>
    </w:rPr>
  </w:style>
  <w:style w:type="paragraph" w:styleId="a4">
    <w:name w:val="annotation text"/>
    <w:link w:val="Char0"/>
    <w:uiPriority w:val="99"/>
    <w:semiHidden/>
    <w:unhideWhenUsed/>
    <w:qFormat/>
    <w:pPr>
      <w:spacing w:after="160"/>
    </w:pPr>
    <w:rPr>
      <w:rFonts w:ascii="等线" w:eastAsia="等线" w:hAnsi="等线" w:cs="Arial"/>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tabs>
        <w:tab w:val="center" w:pos="4153"/>
        <w:tab w:val="right" w:pos="8306"/>
      </w:tabs>
      <w:snapToGrid w:val="0"/>
      <w:jc w:val="center"/>
    </w:pPr>
    <w:rPr>
      <w:sz w:val="18"/>
      <w:szCs w:val="18"/>
    </w:rPr>
  </w:style>
  <w:style w:type="character" w:styleId="a8">
    <w:name w:val="annotation reference"/>
    <w:uiPriority w:val="99"/>
    <w:semiHidden/>
    <w:unhideWhenUsed/>
    <w:qFormat/>
    <w:rPr>
      <w:sz w:val="16"/>
      <w:szCs w:val="16"/>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a9">
    <w:name w:val="批注文字 字符"/>
    <w:basedOn w:val="a0"/>
    <w:uiPriority w:val="99"/>
    <w:semiHidden/>
    <w:qFormat/>
    <w:rPr>
      <w:rFonts w:ascii="Times New Roman" w:eastAsia="宋体" w:hAnsi="Times New Roman" w:cs="Times New Roman"/>
      <w:szCs w:val="21"/>
    </w:rPr>
  </w:style>
  <w:style w:type="character" w:customStyle="1" w:styleId="Char0">
    <w:name w:val="批注文字 Char"/>
    <w:link w:val="a4"/>
    <w:uiPriority w:val="99"/>
    <w:semiHidden/>
    <w:qFormat/>
    <w:rPr>
      <w:rFonts w:ascii="等线" w:eastAsia="等线" w:hAnsi="等线" w:cs="Arial"/>
      <w:kern w:val="0"/>
      <w:sz w:val="20"/>
      <w:szCs w:val="20"/>
    </w:rPr>
  </w:style>
  <w:style w:type="character" w:customStyle="1" w:styleId="Char">
    <w:name w:val="批注主题 Char"/>
    <w:basedOn w:val="Char0"/>
    <w:link w:val="a3"/>
    <w:uiPriority w:val="99"/>
    <w:semiHidden/>
    <w:rPr>
      <w:rFonts w:ascii="Times New Roman" w:eastAsia="宋体" w:hAnsi="Times New Roman" w:cs="Times New Roman"/>
      <w:b/>
      <w:bCs/>
      <w:kern w:val="0"/>
      <w:sz w:val="20"/>
      <w:szCs w:val="21"/>
    </w:rPr>
  </w:style>
  <w:style w:type="paragraph" w:customStyle="1" w:styleId="1">
    <w:name w:val="修订1"/>
    <w:hidden/>
    <w:uiPriority w:val="99"/>
    <w:semiHidden/>
    <w:qFormat/>
    <w:rPr>
      <w:rFonts w:ascii="Times New Roman" w:eastAsia="宋体" w:hAnsi="Times New Roman" w:cs="Times New Roman"/>
      <w:kern w:val="2"/>
      <w:sz w:val="21"/>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3283</Words>
  <Characters>18717</Characters>
  <Application>Microsoft Office Word</Application>
  <DocSecurity>0</DocSecurity>
  <Lines>155</Lines>
  <Paragraphs>43</Paragraphs>
  <ScaleCrop>false</ScaleCrop>
  <Company>SHFE</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Ubica</dc:creator>
  <cp:lastModifiedBy>叶勇</cp:lastModifiedBy>
  <cp:revision>64</cp:revision>
  <dcterms:created xsi:type="dcterms:W3CDTF">2024-08-05T03:24:00Z</dcterms:created>
  <dcterms:modified xsi:type="dcterms:W3CDTF">2025-07-07T07:10:00Z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